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7F1AB">
      <w:pPr>
        <w:spacing w:line="400" w:lineRule="exact"/>
        <w:rPr>
          <w:rFonts w:ascii="Times New Roman" w:hAnsi="Times New Roman" w:eastAsia="方正黑体_GBK" w:cs="Times New Roman"/>
          <w:spacing w:val="-10"/>
          <w:w w:val="90"/>
          <w:sz w:val="28"/>
          <w:szCs w:val="28"/>
        </w:rPr>
      </w:pPr>
    </w:p>
    <w:p w14:paraId="19AAC203">
      <w:pPr>
        <w:spacing w:line="580" w:lineRule="exact"/>
        <w:jc w:val="center"/>
        <w:rPr>
          <w:rFonts w:ascii="Times New Roman" w:hAnsi="Times New Roman" w:eastAsia="方正小标宋_GBK" w:cs="Times New Roman"/>
          <w:color w:val="000000"/>
          <w:kern w:val="0"/>
          <w:sz w:val="44"/>
          <w:szCs w:val="44"/>
        </w:rPr>
      </w:pPr>
    </w:p>
    <w:p w14:paraId="2C3AC0AC">
      <w:pPr>
        <w:spacing w:line="580" w:lineRule="exact"/>
        <w:jc w:val="center"/>
        <w:rPr>
          <w:rFonts w:ascii="Times New Roman" w:hAnsi="Times New Roman" w:eastAsia="方正小标宋_GBK" w:cs="Times New Roman"/>
          <w:color w:val="000000"/>
          <w:kern w:val="0"/>
          <w:sz w:val="44"/>
          <w:szCs w:val="44"/>
        </w:rPr>
      </w:pPr>
      <w:r>
        <w:rPr>
          <w:rFonts w:ascii="Times New Roman" w:hAnsi="Times New Roman" w:eastAsia="方正小标宋_GBK" w:cs="Times New Roman"/>
          <w:color w:val="000000"/>
          <w:kern w:val="0"/>
          <w:sz w:val="44"/>
          <w:szCs w:val="44"/>
        </w:rPr>
        <w:t>关于秦淮区2022年国民经济和社会发展计划执行情况及2023年国民经济和社会发展计划草案的报告</w:t>
      </w:r>
    </w:p>
    <w:p w14:paraId="0094C8BB">
      <w:pPr>
        <w:spacing w:line="580" w:lineRule="exact"/>
        <w:jc w:val="center"/>
        <w:rPr>
          <w:rFonts w:ascii="Times New Roman" w:hAnsi="Times New Roman" w:eastAsia="方正楷体_GBK" w:cs="Times New Roman"/>
          <w:color w:val="000000"/>
          <w:sz w:val="32"/>
          <w:szCs w:val="32"/>
        </w:rPr>
      </w:pPr>
    </w:p>
    <w:p w14:paraId="575D243F">
      <w:pPr>
        <w:spacing w:line="560" w:lineRule="exact"/>
        <w:jc w:val="center"/>
        <w:outlineLvl w:val="0"/>
        <w:rPr>
          <w:rFonts w:ascii="Times New Roman" w:hAnsi="Times New Roman" w:eastAsia="方正黑体_GBK" w:cs="Times New Roman"/>
          <w:kern w:val="0"/>
          <w:sz w:val="36"/>
          <w:szCs w:val="36"/>
        </w:rPr>
      </w:pPr>
      <w:r>
        <w:rPr>
          <w:rFonts w:ascii="Times New Roman" w:hAnsi="Times New Roman" w:eastAsia="方正黑体_GBK" w:cs="Times New Roman"/>
          <w:kern w:val="0"/>
          <w:sz w:val="36"/>
          <w:szCs w:val="36"/>
        </w:rPr>
        <w:t>2022年计划执行情况</w:t>
      </w:r>
    </w:p>
    <w:p w14:paraId="41C4A238">
      <w:pPr>
        <w:pStyle w:val="2"/>
        <w:spacing w:line="560" w:lineRule="exact"/>
        <w:rPr>
          <w:rFonts w:ascii="Times New Roman" w:hAnsi="Times New Roman" w:cs="Times New Roman"/>
          <w:kern w:val="0"/>
          <w:sz w:val="32"/>
          <w:szCs w:val="32"/>
        </w:rPr>
      </w:pPr>
    </w:p>
    <w:p w14:paraId="6B4261D3">
      <w:pPr>
        <w:spacing w:line="54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snapToGrid w:val="0"/>
          <w:kern w:val="0"/>
          <w:sz w:val="32"/>
          <w:szCs w:val="32"/>
        </w:rPr>
        <w:t>2022年是党的二十大召开之年，也是全面建设社会主义现代化国家、向第二个百年奋斗目标进军的开局之年。面对突发输入性和多点散发性疫情交织、经济下行和社会安全稳定压力增大的现实，全区上下坚持以习近平新时代中国特色社会主义思想为指导，深入学习党的二十大精神，坚决贯彻党中央国务院和省市决策部署，认真落实“疫情要防住、经济要稳住、发展要安全”的重大要求，锚定目标，高效统筹，攻坚克难，沉着应对，</w:t>
      </w:r>
      <w:r>
        <w:rPr>
          <w:rFonts w:ascii="Times New Roman" w:hAnsi="Times New Roman" w:eastAsia="方正仿宋_GBK" w:cs="Times New Roman"/>
          <w:bCs/>
          <w:sz w:val="32"/>
          <w:szCs w:val="32"/>
        </w:rPr>
        <w:t>全区经济社会发展保持稳定。</w:t>
      </w:r>
    </w:p>
    <w:p w14:paraId="27C258EF">
      <w:pPr>
        <w:spacing w:line="560" w:lineRule="exact"/>
        <w:ind w:firstLine="640" w:firstLineChars="200"/>
        <w:outlineLvl w:val="1"/>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一、聚力攻坚，经济社会发展保持平稳</w:t>
      </w:r>
    </w:p>
    <w:p w14:paraId="0E721226">
      <w:pPr>
        <w:spacing w:line="520" w:lineRule="exact"/>
        <w:ind w:firstLine="640" w:firstLineChars="200"/>
        <w:rPr>
          <w:rFonts w:ascii="Times New Roman" w:hAnsi="Times New Roman" w:eastAsia="方正楷体_GBK" w:cs="Times New Roman"/>
          <w:bCs/>
          <w:sz w:val="32"/>
          <w:szCs w:val="32"/>
        </w:rPr>
      </w:pPr>
      <w:r>
        <w:rPr>
          <w:rFonts w:ascii="Times New Roman" w:hAnsi="Times New Roman" w:eastAsia="方正仿宋_GBK" w:cs="Times New Roman"/>
          <w:bCs/>
          <w:sz w:val="32"/>
          <w:szCs w:val="32"/>
        </w:rPr>
        <w:t>1、</w:t>
      </w:r>
      <w:r>
        <w:rPr>
          <w:rFonts w:ascii="Times New Roman" w:hAnsi="Times New Roman" w:eastAsia="方正楷体_GBK" w:cs="Times New Roman"/>
          <w:bCs/>
          <w:sz w:val="32"/>
          <w:szCs w:val="32"/>
        </w:rPr>
        <w:t>主要指标固稳向好。</w:t>
      </w:r>
      <w:r>
        <w:rPr>
          <w:rFonts w:ascii="Times New Roman" w:hAnsi="Times New Roman" w:eastAsia="方正仿宋_GBK" w:cs="Times New Roman"/>
          <w:bCs/>
          <w:sz w:val="32"/>
          <w:szCs w:val="32"/>
        </w:rPr>
        <w:t>对照年初人代会确定的主要经济指标，预计3项指标能超额完成、基本完成年度目标任务。全社会固定资产投资316亿元，同比增长20%以上，一般公共预算收入</w:t>
      </w:r>
      <w:r>
        <w:rPr>
          <w:rFonts w:hint="eastAsia" w:ascii="Times New Roman" w:hAnsi="Times New Roman" w:eastAsia="方正仿宋_GBK" w:cs="Times New Roman"/>
          <w:bCs/>
          <w:sz w:val="32"/>
          <w:szCs w:val="32"/>
        </w:rPr>
        <w:t>同口径</w:t>
      </w:r>
      <w:r>
        <w:rPr>
          <w:rFonts w:ascii="Times New Roman" w:hAnsi="Times New Roman" w:eastAsia="方正仿宋_GBK" w:cs="Times New Roman"/>
          <w:bCs/>
          <w:sz w:val="32"/>
          <w:szCs w:val="32"/>
        </w:rPr>
        <w:t>增长8.9%，均位</w:t>
      </w:r>
      <w:r>
        <w:rPr>
          <w:rFonts w:hint="eastAsia" w:ascii="Times New Roman" w:hAnsi="Times New Roman" w:eastAsia="方正仿宋_GBK" w:cs="Times New Roman"/>
          <w:bCs/>
          <w:sz w:val="32"/>
          <w:szCs w:val="32"/>
        </w:rPr>
        <w:t>于</w:t>
      </w:r>
      <w:r>
        <w:rPr>
          <w:rFonts w:ascii="Times New Roman" w:hAnsi="Times New Roman" w:eastAsia="方正仿宋_GBK" w:cs="Times New Roman"/>
          <w:bCs/>
          <w:sz w:val="32"/>
          <w:szCs w:val="32"/>
        </w:rPr>
        <w:t>全市前列。居民人均可支配收入增长5%。受疫情反复及需求收缩、供给冲击、预期减弱等三重压力叠加影响，5项指标完成人代会确定的年度目标任务困难较大或有不确定性。预计地区生产总值超1300亿元，增长5%。实现服务业增加值超1200亿元，增长5.5%。但这2项指标增幅排名均位居全市前列。实际利用外资1.19亿美元，外贸进出口总额770亿元，社会消费品零售总额930亿元。</w:t>
      </w:r>
    </w:p>
    <w:p w14:paraId="2E9E5CC8">
      <w:pPr>
        <w:spacing w:line="560" w:lineRule="exact"/>
        <w:jc w:val="center"/>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表一 主要指标预计完成情况</w:t>
      </w:r>
    </w:p>
    <w:tbl>
      <w:tblPr>
        <w:tblStyle w:val="12"/>
        <w:tblW w:w="7890" w:type="dxa"/>
        <w:jc w:val="center"/>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2715"/>
        <w:gridCol w:w="1868"/>
        <w:gridCol w:w="1785"/>
        <w:gridCol w:w="1522"/>
      </w:tblGrid>
      <w:tr w14:paraId="1CA632F5">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10" w:hRule="atLeast"/>
          <w:jc w:val="center"/>
        </w:trPr>
        <w:tc>
          <w:tcPr>
            <w:tcW w:w="2715" w:type="dxa"/>
            <w:noWrap/>
            <w:vAlign w:val="center"/>
          </w:tcPr>
          <w:p w14:paraId="2FA189CA">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指标名称</w:t>
            </w:r>
          </w:p>
        </w:tc>
        <w:tc>
          <w:tcPr>
            <w:tcW w:w="1868" w:type="dxa"/>
            <w:noWrap/>
            <w:vAlign w:val="center"/>
          </w:tcPr>
          <w:p w14:paraId="2BA5F948">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目标值</w:t>
            </w:r>
          </w:p>
        </w:tc>
        <w:tc>
          <w:tcPr>
            <w:tcW w:w="1785" w:type="dxa"/>
            <w:noWrap/>
            <w:vAlign w:val="center"/>
          </w:tcPr>
          <w:p w14:paraId="60EC8353">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完成情况</w:t>
            </w:r>
          </w:p>
        </w:tc>
        <w:tc>
          <w:tcPr>
            <w:tcW w:w="1522" w:type="dxa"/>
            <w:noWrap/>
            <w:vAlign w:val="center"/>
          </w:tcPr>
          <w:p w14:paraId="57FD7680">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是否达计划</w:t>
            </w:r>
          </w:p>
        </w:tc>
      </w:tr>
      <w:tr w14:paraId="60856DF0">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2715" w:type="dxa"/>
            <w:noWrap/>
            <w:vAlign w:val="center"/>
          </w:tcPr>
          <w:p w14:paraId="639979CC">
            <w:pPr>
              <w:spacing w:line="300" w:lineRule="exact"/>
              <w:rPr>
                <w:rFonts w:ascii="Times New Roman" w:hAnsi="Times New Roman" w:eastAsia="方正仿宋_GBK" w:cs="Times New Roman"/>
                <w:b/>
                <w:iCs/>
                <w:kern w:val="0"/>
                <w:sz w:val="24"/>
              </w:rPr>
            </w:pPr>
            <w:r>
              <w:rPr>
                <w:rFonts w:ascii="Times New Roman" w:hAnsi="Times New Roman" w:eastAsia="方正仿宋_GBK" w:cs="Times New Roman"/>
                <w:b/>
                <w:kern w:val="0"/>
                <w:sz w:val="24"/>
              </w:rPr>
              <w:t>地区生产总值</w:t>
            </w:r>
          </w:p>
        </w:tc>
        <w:tc>
          <w:tcPr>
            <w:tcW w:w="1868" w:type="dxa"/>
            <w:noWrap/>
            <w:vAlign w:val="center"/>
          </w:tcPr>
          <w:p w14:paraId="41232E93">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7.5%</w:t>
            </w:r>
          </w:p>
        </w:tc>
        <w:tc>
          <w:tcPr>
            <w:tcW w:w="1785" w:type="dxa"/>
            <w:noWrap/>
            <w:vAlign w:val="center"/>
          </w:tcPr>
          <w:p w14:paraId="738A1FA6">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5%</w:t>
            </w:r>
          </w:p>
        </w:tc>
        <w:tc>
          <w:tcPr>
            <w:tcW w:w="1522" w:type="dxa"/>
            <w:noWrap/>
            <w:vAlign w:val="center"/>
          </w:tcPr>
          <w:p w14:paraId="160E8CCF">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否</w:t>
            </w:r>
          </w:p>
        </w:tc>
      </w:tr>
      <w:tr w14:paraId="7FA93342">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2715" w:type="dxa"/>
            <w:noWrap/>
            <w:vAlign w:val="center"/>
          </w:tcPr>
          <w:p w14:paraId="7A378E07">
            <w:pPr>
              <w:spacing w:line="300" w:lineRule="exact"/>
              <w:rPr>
                <w:rFonts w:ascii="Times New Roman" w:hAnsi="Times New Roman" w:eastAsia="方正仿宋_GBK" w:cs="Times New Roman"/>
                <w:b/>
                <w:kern w:val="0"/>
                <w:sz w:val="24"/>
              </w:rPr>
            </w:pPr>
            <w:r>
              <w:rPr>
                <w:rFonts w:ascii="Times New Roman" w:hAnsi="Times New Roman" w:eastAsia="方正仿宋_GBK" w:cs="Times New Roman"/>
                <w:b/>
                <w:kern w:val="0"/>
                <w:sz w:val="24"/>
              </w:rPr>
              <w:t>服务业增加值</w:t>
            </w:r>
          </w:p>
        </w:tc>
        <w:tc>
          <w:tcPr>
            <w:tcW w:w="1868" w:type="dxa"/>
            <w:noWrap/>
            <w:vAlign w:val="center"/>
          </w:tcPr>
          <w:p w14:paraId="7FDFC3DD">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7%</w:t>
            </w:r>
          </w:p>
        </w:tc>
        <w:tc>
          <w:tcPr>
            <w:tcW w:w="1785" w:type="dxa"/>
            <w:noWrap/>
            <w:vAlign w:val="center"/>
          </w:tcPr>
          <w:p w14:paraId="0D044AE1">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5.5%</w:t>
            </w:r>
          </w:p>
        </w:tc>
        <w:tc>
          <w:tcPr>
            <w:tcW w:w="1522" w:type="dxa"/>
            <w:noWrap/>
            <w:vAlign w:val="center"/>
          </w:tcPr>
          <w:p w14:paraId="768602DC">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否</w:t>
            </w:r>
          </w:p>
        </w:tc>
      </w:tr>
      <w:tr w14:paraId="14639671">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2715" w:type="dxa"/>
            <w:noWrap/>
            <w:vAlign w:val="center"/>
          </w:tcPr>
          <w:p w14:paraId="37282D8B">
            <w:pPr>
              <w:spacing w:line="300" w:lineRule="exact"/>
              <w:rPr>
                <w:rFonts w:ascii="Times New Roman" w:hAnsi="Times New Roman" w:eastAsia="方正仿宋_GBK" w:cs="Times New Roman"/>
                <w:b/>
                <w:kern w:val="0"/>
                <w:sz w:val="24"/>
              </w:rPr>
            </w:pPr>
            <w:r>
              <w:rPr>
                <w:rFonts w:ascii="Times New Roman" w:hAnsi="Times New Roman" w:eastAsia="方正仿宋_GBK" w:cs="Times New Roman"/>
                <w:b/>
                <w:kern w:val="0"/>
                <w:sz w:val="24"/>
              </w:rPr>
              <w:t>一般公共预算收入</w:t>
            </w:r>
          </w:p>
        </w:tc>
        <w:tc>
          <w:tcPr>
            <w:tcW w:w="1868" w:type="dxa"/>
            <w:noWrap/>
            <w:vAlign w:val="center"/>
          </w:tcPr>
          <w:p w14:paraId="48D7790E">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8%</w:t>
            </w:r>
          </w:p>
        </w:tc>
        <w:tc>
          <w:tcPr>
            <w:tcW w:w="1785" w:type="dxa"/>
            <w:noWrap/>
            <w:vAlign w:val="center"/>
          </w:tcPr>
          <w:p w14:paraId="137B1BAF">
            <w:pPr>
              <w:pStyle w:val="9"/>
              <w:jc w:val="center"/>
              <w:rPr>
                <w:rFonts w:ascii="Times New Roman" w:hAnsi="Times New Roman" w:eastAsia="方正仿宋_GBK" w:cs="Times New Roman"/>
                <w:sz w:val="24"/>
              </w:rPr>
            </w:pPr>
            <w:r>
              <w:rPr>
                <w:rFonts w:ascii="Times New Roman" w:hAnsi="Times New Roman" w:eastAsia="方正仿宋_GBK" w:cs="Times New Roman"/>
                <w:iCs/>
                <w:kern w:val="0"/>
                <w:sz w:val="24"/>
              </w:rPr>
              <w:t>8.9%</w:t>
            </w:r>
          </w:p>
        </w:tc>
        <w:tc>
          <w:tcPr>
            <w:tcW w:w="1522" w:type="dxa"/>
            <w:noWrap/>
            <w:vAlign w:val="center"/>
          </w:tcPr>
          <w:p w14:paraId="7004A25D">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是</w:t>
            </w:r>
          </w:p>
        </w:tc>
      </w:tr>
      <w:tr w14:paraId="3E87318F">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2715" w:type="dxa"/>
            <w:noWrap/>
            <w:vAlign w:val="center"/>
          </w:tcPr>
          <w:p w14:paraId="616973D3">
            <w:pPr>
              <w:spacing w:line="300" w:lineRule="exact"/>
              <w:rPr>
                <w:rFonts w:ascii="Times New Roman" w:hAnsi="Times New Roman" w:eastAsia="方正仿宋_GBK" w:cs="Times New Roman"/>
                <w:b/>
                <w:kern w:val="0"/>
                <w:sz w:val="24"/>
              </w:rPr>
            </w:pPr>
            <w:r>
              <w:rPr>
                <w:rFonts w:ascii="Times New Roman" w:hAnsi="Times New Roman" w:eastAsia="方正仿宋_GBK" w:cs="Times New Roman"/>
                <w:b/>
                <w:kern w:val="0"/>
                <w:sz w:val="24"/>
              </w:rPr>
              <w:t>全社会固定资产投资</w:t>
            </w:r>
          </w:p>
        </w:tc>
        <w:tc>
          <w:tcPr>
            <w:tcW w:w="1868" w:type="dxa"/>
            <w:noWrap/>
            <w:vAlign w:val="center"/>
          </w:tcPr>
          <w:p w14:paraId="393E4A56">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7%</w:t>
            </w:r>
          </w:p>
        </w:tc>
        <w:tc>
          <w:tcPr>
            <w:tcW w:w="1785" w:type="dxa"/>
            <w:noWrap/>
            <w:vAlign w:val="center"/>
          </w:tcPr>
          <w:p w14:paraId="4244C4A0">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20%</w:t>
            </w:r>
          </w:p>
        </w:tc>
        <w:tc>
          <w:tcPr>
            <w:tcW w:w="1522" w:type="dxa"/>
            <w:noWrap/>
            <w:vAlign w:val="center"/>
          </w:tcPr>
          <w:p w14:paraId="4B448D1E">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是</w:t>
            </w:r>
          </w:p>
        </w:tc>
      </w:tr>
      <w:tr w14:paraId="0F4AB7AA">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2715" w:type="dxa"/>
            <w:noWrap/>
            <w:vAlign w:val="center"/>
          </w:tcPr>
          <w:p w14:paraId="2667D2FA">
            <w:pPr>
              <w:spacing w:line="300" w:lineRule="exact"/>
              <w:rPr>
                <w:rFonts w:ascii="Times New Roman" w:hAnsi="Times New Roman" w:eastAsia="方正仿宋_GBK" w:cs="Times New Roman"/>
                <w:b/>
                <w:kern w:val="0"/>
                <w:sz w:val="24"/>
              </w:rPr>
            </w:pPr>
            <w:r>
              <w:rPr>
                <w:rFonts w:ascii="Times New Roman" w:hAnsi="Times New Roman" w:eastAsia="方正仿宋_GBK" w:cs="Times New Roman"/>
                <w:b/>
                <w:kern w:val="0"/>
                <w:sz w:val="24"/>
              </w:rPr>
              <w:t>社会消费品零售总额</w:t>
            </w:r>
          </w:p>
        </w:tc>
        <w:tc>
          <w:tcPr>
            <w:tcW w:w="1868" w:type="dxa"/>
            <w:noWrap/>
            <w:vAlign w:val="center"/>
          </w:tcPr>
          <w:p w14:paraId="3A83D1A0">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8%</w:t>
            </w:r>
          </w:p>
        </w:tc>
        <w:tc>
          <w:tcPr>
            <w:tcW w:w="1785" w:type="dxa"/>
            <w:noWrap/>
            <w:vAlign w:val="center"/>
          </w:tcPr>
          <w:p w14:paraId="2583F648">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930亿元</w:t>
            </w:r>
          </w:p>
        </w:tc>
        <w:tc>
          <w:tcPr>
            <w:tcW w:w="1522" w:type="dxa"/>
            <w:noWrap/>
            <w:vAlign w:val="center"/>
          </w:tcPr>
          <w:p w14:paraId="5A84F8B1">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否</w:t>
            </w:r>
          </w:p>
        </w:tc>
      </w:tr>
      <w:tr w14:paraId="3A4DA4B4">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2715" w:type="dxa"/>
            <w:noWrap/>
            <w:vAlign w:val="center"/>
          </w:tcPr>
          <w:p w14:paraId="082FCC1F">
            <w:pPr>
              <w:spacing w:line="300" w:lineRule="exact"/>
              <w:rPr>
                <w:rFonts w:ascii="Times New Roman" w:hAnsi="Times New Roman" w:eastAsia="方正仿宋_GBK" w:cs="Times New Roman"/>
                <w:b/>
                <w:kern w:val="0"/>
                <w:sz w:val="24"/>
              </w:rPr>
            </w:pPr>
            <w:r>
              <w:rPr>
                <w:rFonts w:ascii="Times New Roman" w:hAnsi="Times New Roman" w:eastAsia="方正仿宋_GBK" w:cs="Times New Roman"/>
                <w:b/>
                <w:kern w:val="0"/>
                <w:sz w:val="24"/>
              </w:rPr>
              <w:t>外贸进出口总额</w:t>
            </w:r>
          </w:p>
        </w:tc>
        <w:tc>
          <w:tcPr>
            <w:tcW w:w="1868" w:type="dxa"/>
            <w:noWrap/>
            <w:vAlign w:val="center"/>
          </w:tcPr>
          <w:p w14:paraId="6A8659BF">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5%</w:t>
            </w:r>
          </w:p>
        </w:tc>
        <w:tc>
          <w:tcPr>
            <w:tcW w:w="1785" w:type="dxa"/>
            <w:noWrap/>
            <w:vAlign w:val="center"/>
          </w:tcPr>
          <w:p w14:paraId="30B8361A">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770亿元</w:t>
            </w:r>
          </w:p>
        </w:tc>
        <w:tc>
          <w:tcPr>
            <w:tcW w:w="1522" w:type="dxa"/>
            <w:noWrap/>
            <w:vAlign w:val="center"/>
          </w:tcPr>
          <w:p w14:paraId="78A13A7E">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否</w:t>
            </w:r>
          </w:p>
        </w:tc>
      </w:tr>
      <w:tr w14:paraId="73A288AA">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2715" w:type="dxa"/>
            <w:noWrap/>
            <w:vAlign w:val="center"/>
          </w:tcPr>
          <w:p w14:paraId="427CB566">
            <w:pPr>
              <w:spacing w:line="300" w:lineRule="exact"/>
              <w:rPr>
                <w:rFonts w:ascii="Times New Roman" w:hAnsi="Times New Roman" w:eastAsia="方正仿宋_GBK" w:cs="Times New Roman"/>
                <w:b/>
                <w:kern w:val="0"/>
                <w:sz w:val="24"/>
              </w:rPr>
            </w:pPr>
            <w:r>
              <w:rPr>
                <w:rFonts w:ascii="Times New Roman" w:hAnsi="Times New Roman" w:eastAsia="方正仿宋_GBK" w:cs="Times New Roman"/>
                <w:b/>
                <w:kern w:val="0"/>
                <w:sz w:val="24"/>
              </w:rPr>
              <w:t>实际使用外资</w:t>
            </w:r>
          </w:p>
        </w:tc>
        <w:tc>
          <w:tcPr>
            <w:tcW w:w="1868" w:type="dxa"/>
            <w:noWrap/>
            <w:vAlign w:val="center"/>
          </w:tcPr>
          <w:p w14:paraId="0E8718F5">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kern w:val="0"/>
                <w:sz w:val="24"/>
              </w:rPr>
              <w:t>2.8</w:t>
            </w:r>
            <w:r>
              <w:rPr>
                <w:rStyle w:val="20"/>
                <w:rFonts w:eastAsia="方正仿宋_GBK"/>
                <w:color w:val="auto"/>
                <w:sz w:val="24"/>
                <w:szCs w:val="24"/>
              </w:rPr>
              <w:t>亿美元</w:t>
            </w:r>
          </w:p>
        </w:tc>
        <w:tc>
          <w:tcPr>
            <w:tcW w:w="1785" w:type="dxa"/>
            <w:noWrap/>
            <w:vAlign w:val="center"/>
          </w:tcPr>
          <w:p w14:paraId="64B5D6E5">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1.19亿美元</w:t>
            </w:r>
          </w:p>
        </w:tc>
        <w:tc>
          <w:tcPr>
            <w:tcW w:w="1522" w:type="dxa"/>
            <w:noWrap/>
            <w:vAlign w:val="center"/>
          </w:tcPr>
          <w:p w14:paraId="3458B2DB">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iCs/>
                <w:kern w:val="0"/>
                <w:sz w:val="24"/>
              </w:rPr>
              <w:t>否</w:t>
            </w:r>
          </w:p>
        </w:tc>
      </w:tr>
      <w:tr w14:paraId="2258DA50">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2715" w:type="dxa"/>
            <w:noWrap/>
            <w:vAlign w:val="center"/>
          </w:tcPr>
          <w:p w14:paraId="68C3FEBD">
            <w:pPr>
              <w:spacing w:line="300" w:lineRule="exact"/>
              <w:rPr>
                <w:rFonts w:ascii="Times New Roman" w:hAnsi="Times New Roman" w:eastAsia="方正仿宋_GBK" w:cs="Times New Roman"/>
                <w:b/>
                <w:kern w:val="0"/>
                <w:sz w:val="24"/>
              </w:rPr>
            </w:pPr>
            <w:r>
              <w:rPr>
                <w:rFonts w:ascii="Times New Roman" w:hAnsi="Times New Roman" w:eastAsia="方正仿宋_GBK" w:cs="Times New Roman"/>
                <w:b/>
                <w:kern w:val="0"/>
                <w:sz w:val="24"/>
              </w:rPr>
              <w:t>居民人均可支配收入</w:t>
            </w:r>
          </w:p>
        </w:tc>
        <w:tc>
          <w:tcPr>
            <w:tcW w:w="1868" w:type="dxa"/>
            <w:noWrap/>
            <w:vAlign w:val="center"/>
          </w:tcPr>
          <w:p w14:paraId="3BFEEAD4">
            <w:pPr>
              <w:spacing w:line="300" w:lineRule="exact"/>
              <w:jc w:val="center"/>
              <w:rPr>
                <w:rFonts w:ascii="Times New Roman" w:hAnsi="Times New Roman" w:eastAsia="方正仿宋_GBK" w:cs="Times New Roman"/>
                <w:iCs/>
                <w:kern w:val="0"/>
                <w:sz w:val="24"/>
              </w:rPr>
            </w:pPr>
            <w:r>
              <w:rPr>
                <w:rFonts w:ascii="Times New Roman" w:hAnsi="Times New Roman" w:eastAsia="方正仿宋_GBK" w:cs="Times New Roman"/>
                <w:kern w:val="0"/>
                <w:sz w:val="24"/>
              </w:rPr>
              <w:t>高于经济增速</w:t>
            </w:r>
          </w:p>
        </w:tc>
        <w:tc>
          <w:tcPr>
            <w:tcW w:w="1785" w:type="dxa"/>
            <w:noWrap/>
            <w:vAlign w:val="center"/>
          </w:tcPr>
          <w:p w14:paraId="1AE9D304">
            <w:pPr>
              <w:spacing w:line="300" w:lineRule="exact"/>
              <w:jc w:val="center"/>
              <w:rPr>
                <w:rFonts w:ascii="Times New Roman" w:hAnsi="Times New Roman" w:eastAsia="方正仿宋_GBK" w:cs="Times New Roman"/>
                <w:iCs/>
                <w:kern w:val="0"/>
                <w:sz w:val="24"/>
                <w:highlight w:val="yellow"/>
              </w:rPr>
            </w:pPr>
            <w:r>
              <w:rPr>
                <w:rFonts w:ascii="Times New Roman" w:hAnsi="Times New Roman" w:eastAsia="方正仿宋_GBK" w:cs="Times New Roman"/>
                <w:iCs/>
                <w:kern w:val="0"/>
                <w:sz w:val="24"/>
              </w:rPr>
              <w:t>5%</w:t>
            </w:r>
          </w:p>
        </w:tc>
        <w:tc>
          <w:tcPr>
            <w:tcW w:w="1522" w:type="dxa"/>
            <w:noWrap/>
            <w:vAlign w:val="center"/>
          </w:tcPr>
          <w:p w14:paraId="18E609BE">
            <w:pPr>
              <w:spacing w:line="300" w:lineRule="exact"/>
              <w:jc w:val="center"/>
              <w:rPr>
                <w:rFonts w:ascii="Times New Roman" w:hAnsi="Times New Roman" w:eastAsia="方正仿宋_GBK" w:cs="Times New Roman"/>
                <w:iCs/>
                <w:kern w:val="0"/>
                <w:sz w:val="24"/>
                <w:highlight w:val="yellow"/>
              </w:rPr>
            </w:pPr>
            <w:r>
              <w:rPr>
                <w:rFonts w:ascii="Times New Roman" w:hAnsi="Times New Roman" w:eastAsia="方正仿宋_GBK" w:cs="Times New Roman"/>
                <w:iCs/>
                <w:kern w:val="0"/>
                <w:sz w:val="24"/>
              </w:rPr>
              <w:t>是</w:t>
            </w:r>
          </w:p>
        </w:tc>
      </w:tr>
    </w:tbl>
    <w:p w14:paraId="3D989687">
      <w:pPr>
        <w:pStyle w:val="17"/>
        <w:numPr>
          <w:ilvl w:val="0"/>
          <w:numId w:val="0"/>
        </w:numPr>
        <w:spacing w:line="520" w:lineRule="exact"/>
        <w:ind w:firstLine="640" w:firstLineChars="200"/>
        <w:rPr>
          <w:bCs/>
          <w:sz w:val="32"/>
          <w:szCs w:val="28"/>
        </w:rPr>
      </w:pPr>
      <w:r>
        <w:rPr>
          <w:rFonts w:eastAsia="方正楷体_GBK"/>
          <w:sz w:val="32"/>
          <w:szCs w:val="28"/>
        </w:rPr>
        <w:t>2、疫情防控精准高效。</w:t>
      </w:r>
      <w:r>
        <w:rPr>
          <w:bCs/>
          <w:sz w:val="32"/>
          <w:szCs w:val="32"/>
        </w:rPr>
        <w:t>严格执行国家第九版防控方案、“二十条优化措施”、“进一步优化防疫措施新十条”，及时调整防控策略，常态化落实防控措施，全年完成89轮规模性核酸检测，累计检测5294.81万人次，重点行业人员“应检尽检”962万人次。做好疫情处置期间群众生活物资、就医用药、心理疏导等服务保障，稳妥有序做好近3万人次集中隔离、6万人次居家隔离和居家健康监测。广泛开展疫苗接种宣传发动工作， 60岁以上人群首针接种比例主城第一。</w:t>
      </w:r>
    </w:p>
    <w:p w14:paraId="45E13A2F">
      <w:pPr>
        <w:spacing w:line="520" w:lineRule="exact"/>
        <w:ind w:firstLine="640" w:firstLineChars="200"/>
        <w:rPr>
          <w:rFonts w:ascii="Times New Roman" w:hAnsi="Times New Roman" w:eastAsia="方正仿宋_GBK" w:cs="Times New Roman"/>
          <w:bCs/>
          <w:sz w:val="32"/>
          <w:szCs w:val="32"/>
        </w:rPr>
      </w:pPr>
      <w:r>
        <w:rPr>
          <w:rFonts w:ascii="Times New Roman" w:hAnsi="Times New Roman" w:eastAsia="方正仿宋_GBK" w:cs="Times New Roman"/>
          <w:bCs/>
          <w:sz w:val="32"/>
          <w:szCs w:val="28"/>
        </w:rPr>
        <w:t>3、</w:t>
      </w:r>
      <w:r>
        <w:rPr>
          <w:rFonts w:ascii="Times New Roman" w:hAnsi="Times New Roman" w:eastAsia="方正楷体_GBK" w:cs="Times New Roman"/>
          <w:sz w:val="32"/>
          <w:szCs w:val="28"/>
        </w:rPr>
        <w:t>安全稳定基础坚实</w:t>
      </w:r>
      <w:r>
        <w:rPr>
          <w:rFonts w:ascii="Times New Roman" w:hAnsi="Times New Roman" w:eastAsia="方正楷体_GBK" w:cs="Times New Roman"/>
          <w:b/>
          <w:bCs/>
          <w:sz w:val="32"/>
          <w:szCs w:val="28"/>
        </w:rPr>
        <w:t>。</w:t>
      </w:r>
      <w:r>
        <w:rPr>
          <w:rFonts w:ascii="Times New Roman" w:hAnsi="Times New Roman" w:eastAsia="方正仿宋_GBK" w:cs="Times New Roman"/>
          <w:bCs/>
          <w:sz w:val="32"/>
          <w:szCs w:val="28"/>
        </w:rPr>
        <w:t>持续</w:t>
      </w:r>
      <w:r>
        <w:rPr>
          <w:rFonts w:ascii="Times New Roman" w:hAnsi="Times New Roman" w:eastAsia="方正仿宋_GBK" w:cs="Times New Roman"/>
          <w:bCs/>
          <w:sz w:val="32"/>
          <w:szCs w:val="32"/>
        </w:rPr>
        <w:t>开展统筹发展和安全“三大行动”，508条重点风险隐患全部落实整改和管控措施。压紧压实安全生产“三个责任”，一体推进专项整治深化提升阶段29项、大检查62项、重点行业领域百日攻坚54项重点工作任务，排查整治各类问题隐患近1.4万条。完成53个有限空间隐患、185幢无水高层住宅、40幢在册危房、3900户“安心管”置换任务等重点隐患整改，生产安全事故起数、死亡人数实现“双下降”，“三年大灶”圆满收官，安全水平显著提升。</w:t>
      </w:r>
    </w:p>
    <w:p w14:paraId="48EC108F">
      <w:pPr>
        <w:spacing w:line="560" w:lineRule="exact"/>
        <w:ind w:firstLine="640" w:firstLineChars="200"/>
        <w:outlineLvl w:val="1"/>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二、提质增效，特色主导产业加速集聚</w:t>
      </w:r>
    </w:p>
    <w:p w14:paraId="3ED1F50D">
      <w:pPr>
        <w:overflowPunct w:val="0"/>
        <w:spacing w:line="520" w:lineRule="exact"/>
        <w:ind w:firstLine="640" w:firstLineChars="200"/>
        <w:rPr>
          <w:rFonts w:ascii="Times New Roman" w:hAnsi="Times New Roman" w:eastAsia="方正仿宋_GBK" w:cs="Times New Roman"/>
          <w:color w:val="000000" w:themeColor="text1"/>
          <w:sz w:val="32"/>
          <w:szCs w:val="32"/>
        </w:rPr>
      </w:pPr>
      <w:r>
        <w:rPr>
          <w:rFonts w:ascii="Times New Roman" w:hAnsi="Times New Roman" w:eastAsia="方正仿宋_GBK" w:cs="Times New Roman"/>
          <w:bCs/>
          <w:kern w:val="0"/>
          <w:sz w:val="32"/>
          <w:szCs w:val="32"/>
        </w:rPr>
        <w:t>1、</w:t>
      </w:r>
      <w:r>
        <w:rPr>
          <w:rFonts w:ascii="Times New Roman" w:hAnsi="Times New Roman" w:eastAsia="方正楷体_GBK" w:cs="Times New Roman"/>
          <w:bCs/>
          <w:kern w:val="0"/>
          <w:sz w:val="32"/>
          <w:szCs w:val="32"/>
        </w:rPr>
        <w:t>产业集聚效应凸</w:t>
      </w:r>
      <w:r>
        <w:rPr>
          <w:rFonts w:ascii="Times New Roman" w:hAnsi="Times New Roman" w:eastAsia="方正楷体_GBK" w:cs="Times New Roman"/>
          <w:bCs/>
          <w:color w:val="000000" w:themeColor="text1"/>
          <w:kern w:val="0"/>
          <w:sz w:val="32"/>
          <w:szCs w:val="32"/>
        </w:rPr>
        <w:t>显</w:t>
      </w:r>
      <w:r>
        <w:rPr>
          <w:rFonts w:ascii="Times New Roman" w:hAnsi="Times New Roman" w:eastAsia="方正仿宋_GBK" w:cs="Times New Roman"/>
          <w:bCs/>
          <w:color w:val="000000" w:themeColor="text1"/>
          <w:kern w:val="0"/>
          <w:sz w:val="32"/>
          <w:szCs w:val="32"/>
        </w:rPr>
        <w:t>。</w:t>
      </w:r>
      <w:r>
        <w:rPr>
          <w:rFonts w:ascii="Times New Roman" w:hAnsi="Times New Roman" w:eastAsia="方正仿宋_GBK" w:cs="Times New Roman"/>
          <w:color w:val="000000" w:themeColor="text1"/>
          <w:sz w:val="32"/>
          <w:szCs w:val="32"/>
        </w:rPr>
        <w:t>金融业实现增加值545亿元，增长15%，弘业期货A股挂牌上市，成为全国首家A+H股双上市的期货公司。启动省级服务贸易基地建设，培育数字贸易新业态，实现限上贸易业销售额2460亿元，增速6%。创成首批江苏省文化和旅游产业融合发展示范区，首批江苏省文化和旅游消费示范区，文化产业增加值占GDP比重超9.7%。引进阿波罗智行研究院等新研平台6个，集聚人工智能研发及应用企业60家，软件和信息服务业收入达490亿元。落地空天海洋装备、高精度工业视觉检测等重点产业技术项目，都市工业产值规模达257亿元，白下高新区智能制造园创成市级都市工业示范园区。</w:t>
      </w:r>
    </w:p>
    <w:p w14:paraId="1AF8E2F9">
      <w:pPr>
        <w:jc w:val="center"/>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表二 产业集聚进展情况</w:t>
      </w:r>
    </w:p>
    <w:tbl>
      <w:tblPr>
        <w:tblStyle w:val="12"/>
        <w:tblW w:w="8820" w:type="dxa"/>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1675"/>
        <w:gridCol w:w="7145"/>
      </w:tblGrid>
      <w:tr w14:paraId="0A9D71DB">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1675" w:type="dxa"/>
            <w:tcBorders>
              <w:top w:val="single" w:color="000000" w:sz="6" w:space="0"/>
              <w:bottom w:val="single" w:color="000000" w:sz="6" w:space="0"/>
            </w:tcBorders>
            <w:noWrap/>
            <w:vAlign w:val="center"/>
          </w:tcPr>
          <w:p w14:paraId="0E758C7B">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主要领域</w:t>
            </w:r>
          </w:p>
        </w:tc>
        <w:tc>
          <w:tcPr>
            <w:tcW w:w="7145" w:type="dxa"/>
            <w:tcBorders>
              <w:top w:val="single" w:color="000000" w:sz="6" w:space="0"/>
              <w:bottom w:val="single" w:color="000000" w:sz="6" w:space="0"/>
            </w:tcBorders>
            <w:noWrap/>
            <w:vAlign w:val="center"/>
          </w:tcPr>
          <w:p w14:paraId="26230632">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主要进展</w:t>
            </w:r>
          </w:p>
        </w:tc>
      </w:tr>
      <w:tr w14:paraId="3EE835C6">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510" w:hRule="atLeast"/>
          <w:jc w:val="center"/>
        </w:trPr>
        <w:tc>
          <w:tcPr>
            <w:tcW w:w="1675" w:type="dxa"/>
            <w:tcBorders>
              <w:top w:val="single" w:color="000000" w:sz="6" w:space="0"/>
              <w:bottom w:val="single" w:color="000000" w:sz="6" w:space="0"/>
            </w:tcBorders>
            <w:noWrap/>
            <w:vAlign w:val="center"/>
          </w:tcPr>
          <w:p w14:paraId="7CE8BA9B">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金融业</w:t>
            </w:r>
          </w:p>
        </w:tc>
        <w:tc>
          <w:tcPr>
            <w:tcW w:w="7145" w:type="dxa"/>
            <w:tcBorders>
              <w:top w:val="single" w:color="000000" w:sz="6" w:space="0"/>
              <w:bottom w:val="single" w:color="000000" w:sz="6" w:space="0"/>
            </w:tcBorders>
            <w:noWrap/>
            <w:vAlign w:val="center"/>
          </w:tcPr>
          <w:p w14:paraId="6758CF9A">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金融业实现增加值545亿元，增长15%</w:t>
            </w:r>
          </w:p>
          <w:p w14:paraId="44239CBC">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全区5425家企业成功注册“江苏省综合金融服务平台”，同比增长27.53%；授信金额37.45亿元，同比增长15.98%；放款金额24.7亿元，同比增长39.86%</w:t>
            </w:r>
          </w:p>
          <w:p w14:paraId="4E938F5D">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全区339家企业使用“南京市民营企业转贷基金”528笔，</w:t>
            </w:r>
            <w:r>
              <w:rPr>
                <w:rFonts w:ascii="Times New Roman" w:hAnsi="Times New Roman" w:eastAsia="方正仿宋_GBK" w:cs="Times New Roman"/>
                <w:bCs/>
                <w:sz w:val="24"/>
              </w:rPr>
              <w:t>金额37亿元</w:t>
            </w:r>
          </w:p>
        </w:tc>
      </w:tr>
      <w:tr w14:paraId="611C1EA6">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20" w:hRule="atLeast"/>
          <w:jc w:val="center"/>
        </w:trPr>
        <w:tc>
          <w:tcPr>
            <w:tcW w:w="1675" w:type="dxa"/>
            <w:tcBorders>
              <w:top w:val="single" w:color="000000" w:sz="6" w:space="0"/>
              <w:bottom w:val="single" w:color="000000" w:sz="6" w:space="0"/>
            </w:tcBorders>
            <w:noWrap/>
            <w:vAlign w:val="center"/>
          </w:tcPr>
          <w:p w14:paraId="17DAACBD">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商贸商务业</w:t>
            </w:r>
          </w:p>
        </w:tc>
        <w:tc>
          <w:tcPr>
            <w:tcW w:w="7145" w:type="dxa"/>
            <w:tcBorders>
              <w:top w:val="single" w:color="000000" w:sz="6" w:space="0"/>
              <w:bottom w:val="single" w:color="000000" w:sz="6" w:space="0"/>
            </w:tcBorders>
            <w:noWrap/>
            <w:vAlign w:val="center"/>
          </w:tcPr>
          <w:p w14:paraId="7DF05779">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启动省级服务贸易基地建设，首创“国际物流供应链综合体”概念，打造以国际运输为龙头，涵盖报关报检、检验检测、国际会展、知识产权全方位、多层次的服务贸易载体</w:t>
            </w:r>
          </w:p>
          <w:p w14:paraId="3D701B48">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印发《秦淮区促进首店经济发展的若干措施》，推出更具时尚魅力的消费新场景181个</w:t>
            </w:r>
          </w:p>
          <w:p w14:paraId="3BBE8A02">
            <w:pPr>
              <w:pStyle w:val="17"/>
            </w:pPr>
            <w:r>
              <w:t>印发《秦淮区促进供应链产业集聚创新发展若干举措》，推进供应链行业国际化、规模化、多元化发展，排名前50的供应链企业销售额1049亿元，同比增长13.25%</w:t>
            </w:r>
          </w:p>
        </w:tc>
      </w:tr>
      <w:tr w14:paraId="669F12ED">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510" w:hRule="atLeast"/>
          <w:jc w:val="center"/>
        </w:trPr>
        <w:tc>
          <w:tcPr>
            <w:tcW w:w="1675" w:type="dxa"/>
            <w:tcBorders>
              <w:top w:val="single" w:color="000000" w:sz="6" w:space="0"/>
              <w:bottom w:val="single" w:color="000000" w:sz="6" w:space="0"/>
            </w:tcBorders>
            <w:noWrap/>
            <w:vAlign w:val="center"/>
          </w:tcPr>
          <w:p w14:paraId="22F34DB0">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文化旅游业</w:t>
            </w:r>
          </w:p>
        </w:tc>
        <w:tc>
          <w:tcPr>
            <w:tcW w:w="7145" w:type="dxa"/>
            <w:tcBorders>
              <w:top w:val="single" w:color="000000" w:sz="6" w:space="0"/>
              <w:bottom w:val="single" w:color="000000" w:sz="6" w:space="0"/>
            </w:tcBorders>
            <w:noWrap/>
            <w:vAlign w:val="center"/>
          </w:tcPr>
          <w:p w14:paraId="370BFA2E">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正式开通内秦淮河西五华里水上游线，十里秦淮水上游览线实现错位运营</w:t>
            </w:r>
          </w:p>
          <w:p w14:paraId="07117E33">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举办中国街舞联赛（南京站）、南京体育嘉年华-门东运动季、秦淮区研学推介会、门东“咪咕音乐节”、门西“落日飞车”后备箱夜市等活动超百场</w:t>
            </w:r>
          </w:p>
        </w:tc>
      </w:tr>
      <w:tr w14:paraId="3E85FB6F">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510" w:hRule="atLeast"/>
          <w:jc w:val="center"/>
        </w:trPr>
        <w:tc>
          <w:tcPr>
            <w:tcW w:w="1675" w:type="dxa"/>
            <w:tcBorders>
              <w:top w:val="single" w:color="000000" w:sz="6" w:space="0"/>
              <w:bottom w:val="single" w:color="000000" w:sz="6" w:space="0"/>
            </w:tcBorders>
            <w:noWrap/>
            <w:vAlign w:val="center"/>
          </w:tcPr>
          <w:p w14:paraId="4695F777">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新兴产业</w:t>
            </w:r>
          </w:p>
        </w:tc>
        <w:tc>
          <w:tcPr>
            <w:tcW w:w="7145" w:type="dxa"/>
            <w:tcBorders>
              <w:top w:val="single" w:color="000000" w:sz="6" w:space="0"/>
              <w:bottom w:val="single" w:color="000000" w:sz="6" w:space="0"/>
            </w:tcBorders>
            <w:noWrap/>
            <w:vAlign w:val="center"/>
          </w:tcPr>
          <w:p w14:paraId="19C89FC4">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累计发布拓扑丝路数字化外贸综合服务平台、智慧门东等应用场景项目114个，总投资10.7亿元，已完成投资4.1亿元，累计吸附2452家企业参与建设，招引外地企业落地23家</w:t>
            </w:r>
          </w:p>
          <w:p w14:paraId="05136420">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规上数字经济核心产业营业收入124亿元，从业人数4.7万人，同比增长10.5%</w:t>
            </w:r>
          </w:p>
          <w:p w14:paraId="05CA02E7">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引进阿波罗智行研究院、科创车联网研究院等6个车联网相关新研平台，成立南京市车联网专委会、南京市车联网产业联盟；举办百度智能交通渠道大会；成功搭建全市首个测试场地；参与车路协同云控基础平台国家级标准编制</w:t>
            </w:r>
          </w:p>
        </w:tc>
      </w:tr>
      <w:tr w14:paraId="6B470930">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15" w:hRule="atLeast"/>
          <w:jc w:val="center"/>
        </w:trPr>
        <w:tc>
          <w:tcPr>
            <w:tcW w:w="1675" w:type="dxa"/>
            <w:tcBorders>
              <w:top w:val="single" w:color="000000" w:sz="6" w:space="0"/>
              <w:bottom w:val="single" w:color="000000" w:sz="6" w:space="0"/>
            </w:tcBorders>
            <w:noWrap/>
            <w:vAlign w:val="center"/>
          </w:tcPr>
          <w:p w14:paraId="279F5777">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都市工业</w:t>
            </w:r>
          </w:p>
        </w:tc>
        <w:tc>
          <w:tcPr>
            <w:tcW w:w="7145" w:type="dxa"/>
            <w:tcBorders>
              <w:top w:val="single" w:color="000000" w:sz="6" w:space="0"/>
              <w:bottom w:val="single" w:color="000000" w:sz="6" w:space="0"/>
            </w:tcBorders>
            <w:noWrap/>
            <w:vAlign w:val="center"/>
          </w:tcPr>
          <w:p w14:paraId="3A89ED36">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实施“智改数转”项目92个，累计实施企业74家</w:t>
            </w:r>
          </w:p>
          <w:p w14:paraId="6193F395">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建立区级“智改数转”服务商培育库，联通物联网、金陵智造研究院等13家企业入库，其中5家企业入围市级服务商名单</w:t>
            </w:r>
          </w:p>
        </w:tc>
      </w:tr>
    </w:tbl>
    <w:p w14:paraId="3BB8BE49">
      <w:pPr>
        <w:overflowPunct w:val="0"/>
        <w:spacing w:line="520" w:lineRule="exact"/>
        <w:ind w:firstLine="640" w:firstLineChars="200"/>
        <w:rPr>
          <w:rFonts w:ascii="Times New Roman" w:hAnsi="Times New Roman" w:eastAsia="方正仿宋_GBK" w:cs="Times New Roman"/>
          <w:kern w:val="0"/>
          <w:sz w:val="32"/>
          <w:szCs w:val="32"/>
        </w:rPr>
      </w:pPr>
      <w:r>
        <w:rPr>
          <w:rFonts w:ascii="Times New Roman" w:hAnsi="Times New Roman" w:eastAsia="方正楷体_GBK" w:cs="Times New Roman"/>
          <w:bCs/>
          <w:kern w:val="0"/>
          <w:sz w:val="32"/>
          <w:szCs w:val="32"/>
        </w:rPr>
        <w:t>2、招商引资成果显著。</w:t>
      </w:r>
      <w:r>
        <w:rPr>
          <w:rFonts w:ascii="Times New Roman" w:hAnsi="Times New Roman" w:eastAsia="方正仿宋_GBK" w:cs="Times New Roman"/>
          <w:sz w:val="32"/>
          <w:szCs w:val="32"/>
        </w:rPr>
        <w:t>举办秦淮区产业引导基金发布暨产业投资对接专场活动，规模20亿元的秦淮产业引导基金正式发布，当年完成项目投资1.6亿元。举办2022金洽会秦淮专场活动，签约天翼云江苏公司、江苏省工业互联网科技有限公司等30个项目，投资总额达116亿元。</w:t>
      </w:r>
      <w:r>
        <w:rPr>
          <w:rFonts w:ascii="Times New Roman" w:hAnsi="Times New Roman" w:eastAsia="方正仿宋_GBK" w:cs="Times New Roman"/>
          <w:snapToGrid w:val="0"/>
          <w:kern w:val="0"/>
          <w:sz w:val="32"/>
          <w:szCs w:val="32"/>
        </w:rPr>
        <w:t>上线“秦淮招商服务平台”，建设全区楼宇园区载体数字化底座，实施苏豪大厦</w:t>
      </w:r>
      <w:r>
        <w:rPr>
          <w:rFonts w:ascii="Times New Roman" w:hAnsi="Times New Roman" w:eastAsia="方正仿宋_GBK" w:cs="Times New Roman"/>
          <w:snapToGrid w:val="0"/>
          <w:color w:val="000000" w:themeColor="text1"/>
          <w:kern w:val="0"/>
          <w:sz w:val="32"/>
          <w:szCs w:val="32"/>
        </w:rPr>
        <w:t>等10个楼宇园区项目改造，金城大厦、南航科技园等25处楼宇园区载体税收突破亿元。新增中化医药有限公司等市级总部企业8家，数量位于全市前列。</w:t>
      </w:r>
    </w:p>
    <w:p w14:paraId="355DAE3F">
      <w:pPr>
        <w:jc w:val="center"/>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表三</w:t>
      </w:r>
      <w:r>
        <w:rPr>
          <w:rFonts w:hint="eastAsia" w:ascii="Times New Roman" w:hAnsi="Times New Roman" w:eastAsia="方正仿宋_GBK" w:cs="Times New Roman"/>
          <w:b/>
          <w:bCs/>
          <w:kern w:val="0"/>
          <w:sz w:val="32"/>
          <w:szCs w:val="32"/>
        </w:rPr>
        <w:t xml:space="preserve"> </w:t>
      </w:r>
      <w:r>
        <w:rPr>
          <w:rFonts w:ascii="Times New Roman" w:hAnsi="Times New Roman" w:eastAsia="方正仿宋_GBK" w:cs="Times New Roman"/>
          <w:b/>
          <w:bCs/>
          <w:kern w:val="0"/>
          <w:sz w:val="32"/>
          <w:szCs w:val="32"/>
        </w:rPr>
        <w:t>招商引资进展情况</w:t>
      </w:r>
    </w:p>
    <w:tbl>
      <w:tblPr>
        <w:tblStyle w:val="12"/>
        <w:tblW w:w="0" w:type="auto"/>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51034D37">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51649D0A">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主要领域</w:t>
            </w:r>
          </w:p>
        </w:tc>
        <w:tc>
          <w:tcPr>
            <w:tcW w:w="6742" w:type="dxa"/>
            <w:tcBorders>
              <w:top w:val="single" w:color="000000" w:sz="6" w:space="0"/>
              <w:bottom w:val="single" w:color="000000" w:sz="6" w:space="0"/>
            </w:tcBorders>
            <w:noWrap/>
            <w:vAlign w:val="center"/>
          </w:tcPr>
          <w:p w14:paraId="30A17527">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主要进展</w:t>
            </w:r>
          </w:p>
        </w:tc>
      </w:tr>
      <w:tr w14:paraId="24D2B127">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95" w:hRule="atLeast"/>
          <w:jc w:val="center"/>
        </w:trPr>
        <w:tc>
          <w:tcPr>
            <w:tcW w:w="2078" w:type="dxa"/>
            <w:tcBorders>
              <w:top w:val="single" w:color="000000" w:sz="6" w:space="0"/>
              <w:bottom w:val="single" w:color="000000" w:sz="6" w:space="0"/>
            </w:tcBorders>
            <w:noWrap/>
            <w:vAlign w:val="center"/>
          </w:tcPr>
          <w:p w14:paraId="3C7F4CDB">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指标进展</w:t>
            </w:r>
          </w:p>
        </w:tc>
        <w:tc>
          <w:tcPr>
            <w:tcW w:w="6742" w:type="dxa"/>
            <w:tcBorders>
              <w:top w:val="single" w:color="000000" w:sz="6" w:space="0"/>
              <w:bottom w:val="single" w:color="000000" w:sz="6" w:space="0"/>
            </w:tcBorders>
            <w:noWrap/>
            <w:vAlign w:val="center"/>
          </w:tcPr>
          <w:p w14:paraId="1C74051B">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实际利用内资：完成121亿元，完成全年任务121%</w:t>
            </w:r>
          </w:p>
          <w:p w14:paraId="3B5100CC">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优质项目103个，完成全年任务103%。</w:t>
            </w:r>
          </w:p>
          <w:p w14:paraId="3E310E56">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签约项目投资总额：完成578亿元，完成全年任务100.3%</w:t>
            </w:r>
          </w:p>
        </w:tc>
      </w:tr>
      <w:tr w14:paraId="17192C58">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0" w:hRule="atLeast"/>
          <w:jc w:val="center"/>
        </w:trPr>
        <w:tc>
          <w:tcPr>
            <w:tcW w:w="2078" w:type="dxa"/>
            <w:tcBorders>
              <w:top w:val="single" w:color="000000" w:sz="6" w:space="0"/>
              <w:bottom w:val="single" w:color="000000" w:sz="6" w:space="0"/>
            </w:tcBorders>
            <w:noWrap/>
            <w:vAlign w:val="center"/>
          </w:tcPr>
          <w:p w14:paraId="3129C4FA">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招商成效</w:t>
            </w:r>
          </w:p>
        </w:tc>
        <w:tc>
          <w:tcPr>
            <w:tcW w:w="6742" w:type="dxa"/>
            <w:tcBorders>
              <w:top w:val="single" w:color="000000" w:sz="6" w:space="0"/>
              <w:bottom w:val="single" w:color="000000" w:sz="6" w:space="0"/>
            </w:tcBorders>
            <w:noWrap/>
            <w:vAlign w:val="center"/>
          </w:tcPr>
          <w:p w14:paraId="2FD3E927">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举办重大招商项目签约仪式暨招商资源发布会，签约落地华熙集团华东总部、华能光伏开发等18个重大项目，总投资超60亿元</w:t>
            </w:r>
          </w:p>
          <w:p w14:paraId="27A2D2C3">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成立秦淮区数字商务、数字金融、数字文化、数字教育、数字健康等5个数字产业联盟</w:t>
            </w:r>
          </w:p>
        </w:tc>
      </w:tr>
      <w:tr w14:paraId="6729972E">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6EA289BE">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楼宇园区</w:t>
            </w:r>
          </w:p>
        </w:tc>
        <w:tc>
          <w:tcPr>
            <w:tcW w:w="6742" w:type="dxa"/>
            <w:tcBorders>
              <w:top w:val="single" w:color="000000" w:sz="6" w:space="0"/>
              <w:bottom w:val="single" w:color="000000" w:sz="6" w:space="0"/>
            </w:tcBorders>
            <w:noWrap/>
            <w:vAlign w:val="center"/>
          </w:tcPr>
          <w:p w14:paraId="6E19D2D5">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26栋重点提升楼宇共完成税收118.3亿元，同比增长2.9%；4个重点园区共完成税收10.4亿元，同比增长19.9%</w:t>
            </w:r>
          </w:p>
          <w:p w14:paraId="06B676FA">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江苏银行大厦、华泰证券大厦、商茂世纪广场、华设设计集团、中国云计算创新基地等21栋楼宇，1865、双龙科技园、南航科技园等4个园区税收超亿元</w:t>
            </w:r>
          </w:p>
        </w:tc>
      </w:tr>
    </w:tbl>
    <w:p w14:paraId="0BE8C890">
      <w:pPr>
        <w:spacing w:line="520" w:lineRule="exact"/>
        <w:ind w:firstLine="640" w:firstLineChars="200"/>
        <w:rPr>
          <w:rFonts w:ascii="Times New Roman" w:hAnsi="Times New Roman" w:eastAsia="方正仿宋_GBK" w:cs="Times New Roman"/>
          <w:color w:val="FF0000"/>
          <w:sz w:val="32"/>
          <w:szCs w:val="32"/>
        </w:rPr>
      </w:pPr>
      <w:r>
        <w:rPr>
          <w:rFonts w:ascii="Times New Roman" w:hAnsi="Times New Roman" w:eastAsia="方正楷体_GBK" w:cs="Times New Roman"/>
          <w:bCs/>
          <w:kern w:val="0"/>
          <w:sz w:val="32"/>
          <w:szCs w:val="32"/>
        </w:rPr>
        <w:t>3、营商环境持续优化。</w:t>
      </w:r>
      <w:r>
        <w:rPr>
          <w:rFonts w:ascii="Times New Roman" w:hAnsi="Times New Roman" w:eastAsia="方正仿宋_GBK" w:cs="Times New Roman"/>
          <w:sz w:val="32"/>
          <w:szCs w:val="32"/>
        </w:rPr>
        <w:t>出台《秦淮区经济加速发展政策汇编》《秦淮区2022年优化提升营商环境20项举措》《秦淮区应对疫情影响助企纾困12项举措》等政策，持续为企业发展赋能助力。构建“科技创新小微企业—高新技术企业—行业创新标杆企业”的全链条</w:t>
      </w:r>
      <w:r>
        <w:rPr>
          <w:rFonts w:ascii="Times New Roman" w:hAnsi="Times New Roman" w:eastAsia="方正仿宋_GBK" w:cs="Times New Roman"/>
          <w:color w:val="000000" w:themeColor="text1"/>
          <w:sz w:val="32"/>
          <w:szCs w:val="32"/>
        </w:rPr>
        <w:t>企业培育体系，根据企业成长特点予以重点关注和扶持。落实各类组合式减税降费、租金减免政策，累计办理减税降费及退税缓税38.5亿元，减免租金1.2亿元。</w:t>
      </w:r>
    </w:p>
    <w:p w14:paraId="385F14D3">
      <w:pPr>
        <w:spacing w:line="560" w:lineRule="exact"/>
        <w:ind w:firstLine="640" w:firstLineChars="200"/>
        <w:outlineLvl w:val="1"/>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三、夯基引智，引领性创新城区加快建设</w:t>
      </w:r>
    </w:p>
    <w:p w14:paraId="4DEF90D9">
      <w:pPr>
        <w:spacing w:line="540" w:lineRule="exact"/>
        <w:ind w:firstLine="640" w:firstLineChars="200"/>
        <w:rPr>
          <w:rFonts w:ascii="Times New Roman" w:hAnsi="Times New Roman" w:eastAsia="方正黑体_GBK" w:cs="Times New Roman"/>
          <w:kern w:val="0"/>
          <w:sz w:val="32"/>
          <w:szCs w:val="32"/>
        </w:rPr>
      </w:pPr>
      <w:r>
        <w:rPr>
          <w:rFonts w:ascii="Times New Roman" w:hAnsi="Times New Roman" w:eastAsia="方正楷体_GBK" w:cs="Times New Roman"/>
          <w:sz w:val="32"/>
          <w:szCs w:val="32"/>
        </w:rPr>
        <w:t>1、创新动能持续释放。</w:t>
      </w:r>
      <w:r>
        <w:rPr>
          <w:rFonts w:ascii="Times New Roman" w:hAnsi="Times New Roman" w:eastAsia="方正仿宋_GBK" w:cs="Times New Roman"/>
          <w:sz w:val="32"/>
          <w:szCs w:val="32"/>
        </w:rPr>
        <w:t>高新技术企业突破500家。新认定培育独角兽企业7家、瞪羚企业16家，省级以上专精特新企业15家，其中博兰得电子荣获国家第四批专精特新“小巨人”企业。规上工业重点研发企业研发投入近50亿元，增长12</w:t>
      </w:r>
      <w:r>
        <w:rPr>
          <w:rFonts w:ascii="Times New Roman" w:hAnsi="Times New Roman" w:eastAsia="方正仿宋_GBK" w:cs="Times New Roman"/>
          <w:color w:val="000000" w:themeColor="text1"/>
          <w:sz w:val="32"/>
          <w:szCs w:val="32"/>
        </w:rPr>
        <w:t>%，位列全市前列。新增省级企业技术中心3家、工程研究中心1家，市级工程研究中心3家。新增发明专利授权2030件，技术合同成交额81亿元，获批国家知识产权强县（区）建设试</w:t>
      </w:r>
      <w:r>
        <w:rPr>
          <w:rFonts w:ascii="Times New Roman" w:hAnsi="Times New Roman" w:eastAsia="方正仿宋_GBK" w:cs="Times New Roman"/>
          <w:sz w:val="32"/>
          <w:szCs w:val="32"/>
        </w:rPr>
        <w:t>点区。白下高新区在省级高新区综合评价中综合排名全省第三、南京第一。</w:t>
      </w:r>
    </w:p>
    <w:p w14:paraId="3CA6FA24">
      <w:pPr>
        <w:pStyle w:val="17"/>
        <w:numPr>
          <w:ilvl w:val="0"/>
          <w:numId w:val="0"/>
        </w:numPr>
        <w:spacing w:line="540" w:lineRule="exact"/>
        <w:ind w:firstLine="640" w:firstLineChars="200"/>
        <w:rPr>
          <w:sz w:val="32"/>
          <w:szCs w:val="32"/>
        </w:rPr>
      </w:pPr>
      <w:r>
        <w:rPr>
          <w:rFonts w:eastAsia="方正楷体_GBK"/>
          <w:bCs/>
          <w:kern w:val="0"/>
          <w:sz w:val="32"/>
          <w:szCs w:val="32"/>
        </w:rPr>
        <w:t>2、</w:t>
      </w:r>
      <w:r>
        <w:rPr>
          <w:rFonts w:eastAsia="方正楷体_GBK"/>
          <w:sz w:val="32"/>
          <w:szCs w:val="32"/>
        </w:rPr>
        <w:t>创新人才有效汇聚。</w:t>
      </w:r>
      <w:r>
        <w:rPr>
          <w:sz w:val="32"/>
          <w:szCs w:val="32"/>
        </w:rPr>
        <w:t>编制《秦淮区产业紧缺人才目录》，助力企业引进“高精尖缺”人才。吸引产业高端人才创新创业，3人入选国家重点人才工程，13人入选省“双创博士”。推进校地融合发展，落地微电子学院创新中心等校地共建平台2家，与南航等高校互派科技人才专员7名，引入来自清华大学、南京理工大学“双一流”高校的优秀科技镇长团团员2名。</w:t>
      </w:r>
    </w:p>
    <w:p w14:paraId="03213D3B">
      <w:pPr>
        <w:pStyle w:val="17"/>
        <w:numPr>
          <w:ilvl w:val="0"/>
          <w:numId w:val="0"/>
        </w:numPr>
        <w:spacing w:line="540" w:lineRule="exact"/>
        <w:ind w:firstLine="640" w:firstLineChars="200"/>
        <w:rPr>
          <w:bCs/>
          <w:strike/>
          <w:color w:val="FF0000"/>
          <w:sz w:val="32"/>
          <w:szCs w:val="32"/>
        </w:rPr>
      </w:pPr>
      <w:r>
        <w:rPr>
          <w:sz w:val="32"/>
          <w:szCs w:val="32"/>
        </w:rPr>
        <w:t>3、</w:t>
      </w:r>
      <w:r>
        <w:rPr>
          <w:rFonts w:eastAsia="方正楷体_GBK"/>
          <w:bCs/>
          <w:kern w:val="0"/>
          <w:sz w:val="32"/>
          <w:szCs w:val="32"/>
        </w:rPr>
        <w:t>创新载体不断壮大。</w:t>
      </w:r>
      <w:r>
        <w:rPr>
          <w:sz w:val="32"/>
          <w:szCs w:val="32"/>
        </w:rPr>
        <w:t>新增科创载体10万平方米。打造南理工微电子学院创新</w:t>
      </w:r>
      <w:r>
        <w:rPr>
          <w:color w:val="000000" w:themeColor="text1"/>
          <w:sz w:val="32"/>
          <w:szCs w:val="32"/>
        </w:rPr>
        <w:t>中心、南理工·数字经济创新湾，创立长三角人工智能协同创新中心，集聚云创大数据、金陵智造研究院等前沿产业领域优质企业。</w:t>
      </w:r>
      <w:r>
        <w:rPr>
          <w:bCs/>
          <w:color w:val="000000" w:themeColor="text1"/>
          <w:sz w:val="32"/>
          <w:szCs w:val="32"/>
        </w:rPr>
        <w:t>城市硅巷建设标准化试点获批2022年</w:t>
      </w:r>
      <w:r>
        <w:rPr>
          <w:bCs/>
          <w:sz w:val="32"/>
          <w:szCs w:val="32"/>
        </w:rPr>
        <w:t>度江苏省社会管理和公共服务业项目试点。</w:t>
      </w:r>
      <w:r>
        <w:rPr>
          <w:sz w:val="32"/>
          <w:szCs w:val="32"/>
        </w:rPr>
        <w:t>新增</w:t>
      </w:r>
      <w:r>
        <w:rPr>
          <w:color w:val="000000" w:themeColor="text1"/>
          <w:sz w:val="32"/>
          <w:szCs w:val="32"/>
        </w:rPr>
        <w:t>国家级众创空间2家、省级孵化器3家。</w:t>
      </w:r>
    </w:p>
    <w:p w14:paraId="38CD8F8B">
      <w:pPr>
        <w:jc w:val="center"/>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表四 科技创新进展情况</w:t>
      </w:r>
    </w:p>
    <w:tbl>
      <w:tblPr>
        <w:tblStyle w:val="12"/>
        <w:tblW w:w="0" w:type="auto"/>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1823"/>
        <w:gridCol w:w="6997"/>
      </w:tblGrid>
      <w:tr w14:paraId="56CA6A0A">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510" w:hRule="atLeast"/>
          <w:jc w:val="center"/>
        </w:trPr>
        <w:tc>
          <w:tcPr>
            <w:tcW w:w="1823" w:type="dxa"/>
            <w:tcBorders>
              <w:top w:val="single" w:color="000000" w:sz="6" w:space="0"/>
              <w:bottom w:val="single" w:color="000000" w:sz="6" w:space="0"/>
            </w:tcBorders>
            <w:noWrap/>
            <w:vAlign w:val="center"/>
          </w:tcPr>
          <w:p w14:paraId="47FF6716">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主要领域</w:t>
            </w:r>
          </w:p>
        </w:tc>
        <w:tc>
          <w:tcPr>
            <w:tcW w:w="6997" w:type="dxa"/>
            <w:tcBorders>
              <w:top w:val="single" w:color="000000" w:sz="6" w:space="0"/>
              <w:bottom w:val="single" w:color="000000" w:sz="6" w:space="0"/>
            </w:tcBorders>
            <w:noWrap/>
            <w:vAlign w:val="center"/>
          </w:tcPr>
          <w:p w14:paraId="34F94BEF">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主要进展</w:t>
            </w:r>
          </w:p>
        </w:tc>
      </w:tr>
      <w:tr w14:paraId="2E641638">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15" w:hRule="atLeast"/>
          <w:jc w:val="center"/>
        </w:trPr>
        <w:tc>
          <w:tcPr>
            <w:tcW w:w="1823" w:type="dxa"/>
            <w:tcBorders>
              <w:top w:val="single" w:color="000000" w:sz="6" w:space="0"/>
              <w:bottom w:val="single" w:color="000000" w:sz="6" w:space="0"/>
            </w:tcBorders>
            <w:noWrap/>
            <w:vAlign w:val="center"/>
          </w:tcPr>
          <w:p w14:paraId="7D1AD425">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企业</w:t>
            </w:r>
          </w:p>
        </w:tc>
        <w:tc>
          <w:tcPr>
            <w:tcW w:w="6997" w:type="dxa"/>
            <w:tcBorders>
              <w:top w:val="single" w:color="000000" w:sz="6" w:space="0"/>
              <w:bottom w:val="single" w:color="000000" w:sz="6" w:space="0"/>
            </w:tcBorders>
            <w:noWrap/>
            <w:vAlign w:val="center"/>
          </w:tcPr>
          <w:p w14:paraId="5F18D006">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新增200家科技型中小企业，总量达1240家</w:t>
            </w:r>
          </w:p>
          <w:p w14:paraId="597DCE29">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新增孵化器在孵企业182家，毕业企业20家</w:t>
            </w:r>
          </w:p>
          <w:p w14:paraId="5F63E3A9">
            <w:pPr>
              <w:pStyle w:val="17"/>
              <w:rPr>
                <w:kern w:val="0"/>
              </w:rPr>
            </w:pPr>
            <w:r>
              <w:rPr>
                <w:kern w:val="0"/>
              </w:rPr>
              <w:t>省级孵化器绩效评价优秀4家、良好8家，优秀和良好家数位居全市第二、主城区第一</w:t>
            </w:r>
          </w:p>
          <w:p w14:paraId="404A4DA2">
            <w:pPr>
              <w:pStyle w:val="17"/>
              <w:rPr>
                <w:kern w:val="0"/>
              </w:rPr>
            </w:pPr>
            <w:r>
              <w:rPr>
                <w:kern w:val="0"/>
              </w:rPr>
              <w:t>新认定国家知识产权优势企业1家，获中国专利金奖1个</w:t>
            </w:r>
          </w:p>
        </w:tc>
      </w:tr>
      <w:tr w14:paraId="5B246ED7">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0" w:hRule="atLeast"/>
          <w:jc w:val="center"/>
        </w:trPr>
        <w:tc>
          <w:tcPr>
            <w:tcW w:w="1823" w:type="dxa"/>
            <w:tcBorders>
              <w:top w:val="single" w:color="000000" w:sz="6" w:space="0"/>
              <w:bottom w:val="single" w:color="000000" w:sz="6" w:space="0"/>
            </w:tcBorders>
            <w:noWrap/>
            <w:vAlign w:val="center"/>
          </w:tcPr>
          <w:p w14:paraId="3EC40757">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人才</w:t>
            </w:r>
          </w:p>
        </w:tc>
        <w:tc>
          <w:tcPr>
            <w:tcW w:w="6997" w:type="dxa"/>
            <w:tcBorders>
              <w:top w:val="single" w:color="000000" w:sz="6" w:space="0"/>
              <w:bottom w:val="single" w:color="000000" w:sz="6" w:space="0"/>
            </w:tcBorders>
            <w:noWrap/>
            <w:vAlign w:val="center"/>
          </w:tcPr>
          <w:p w14:paraId="5C555BCA">
            <w:pPr>
              <w:pStyle w:val="17"/>
              <w:rPr>
                <w:kern w:val="0"/>
              </w:rPr>
            </w:pPr>
            <w:r>
              <w:t>58人通过省工信厅、科技厅申报国家重点人才工程，13人入选省“双创博士”</w:t>
            </w:r>
          </w:p>
          <w:p w14:paraId="3AEE1CD0">
            <w:pPr>
              <w:pStyle w:val="17"/>
              <w:rPr>
                <w:kern w:val="0"/>
              </w:rPr>
            </w:pPr>
            <w:r>
              <w:rPr>
                <w:kern w:val="0"/>
              </w:rPr>
              <w:t>3人入选国家重点人才工程</w:t>
            </w:r>
          </w:p>
        </w:tc>
      </w:tr>
      <w:tr w14:paraId="5C9A3542">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0" w:hRule="atLeast"/>
          <w:jc w:val="center"/>
        </w:trPr>
        <w:tc>
          <w:tcPr>
            <w:tcW w:w="1823" w:type="dxa"/>
            <w:tcBorders>
              <w:top w:val="single" w:color="000000" w:sz="6" w:space="0"/>
              <w:bottom w:val="single" w:color="000000" w:sz="6" w:space="0"/>
            </w:tcBorders>
            <w:noWrap/>
            <w:vAlign w:val="center"/>
          </w:tcPr>
          <w:p w14:paraId="400A8935">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载体</w:t>
            </w:r>
          </w:p>
        </w:tc>
        <w:tc>
          <w:tcPr>
            <w:tcW w:w="6997" w:type="dxa"/>
            <w:tcBorders>
              <w:top w:val="single" w:color="000000" w:sz="6" w:space="0"/>
              <w:bottom w:val="single" w:color="000000" w:sz="6" w:space="0"/>
            </w:tcBorders>
            <w:noWrap/>
            <w:vAlign w:val="center"/>
          </w:tcPr>
          <w:p w14:paraId="79CD6E33">
            <w:pPr>
              <w:pStyle w:val="17"/>
              <w:rPr>
                <w:kern w:val="0"/>
              </w:rPr>
            </w:pPr>
            <w:r>
              <w:t>联合金蝶科技园、中山坊、中电芯谷等周边园区成立招商联盟，规划湾区知识产权运营中心与科技成果转化中心建设</w:t>
            </w:r>
          </w:p>
          <w:p w14:paraId="79B867DB">
            <w:pPr>
              <w:pStyle w:val="17"/>
              <w:rPr>
                <w:kern w:val="0"/>
              </w:rPr>
            </w:pPr>
            <w:r>
              <w:t>新化原科创大厦竣工，天安数码城二期E地块封顶，建筑总面积约10万平方米</w:t>
            </w:r>
          </w:p>
          <w:p w14:paraId="161D79F1">
            <w:pPr>
              <w:pStyle w:val="17"/>
              <w:rPr>
                <w:kern w:val="0"/>
              </w:rPr>
            </w:pPr>
            <w:r>
              <w:t>紫云未来广场A区、云华大厦、秦淮硅巷航空发展大厦地上主体施工</w:t>
            </w:r>
          </w:p>
        </w:tc>
      </w:tr>
    </w:tbl>
    <w:p w14:paraId="0DAF3B91">
      <w:pPr>
        <w:spacing w:line="520" w:lineRule="exact"/>
        <w:ind w:firstLine="640" w:firstLineChars="200"/>
        <w:outlineLvl w:val="1"/>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四、畅通循环，内外有效需求持续放大</w:t>
      </w:r>
    </w:p>
    <w:p w14:paraId="0F14CCF3">
      <w:pPr>
        <w:widowControl/>
        <w:spacing w:line="52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bCs/>
          <w:kern w:val="0"/>
          <w:sz w:val="32"/>
          <w:szCs w:val="32"/>
        </w:rPr>
        <w:t>1、重大项目稳步推进。</w:t>
      </w:r>
      <w:r>
        <w:rPr>
          <w:rFonts w:ascii="Times New Roman" w:hAnsi="Times New Roman" w:eastAsia="方正仿宋_GBK" w:cs="Times New Roman"/>
          <w:sz w:val="32"/>
          <w:szCs w:val="32"/>
        </w:rPr>
        <w:t>125个重大项目顺利推进，累计完成投资280亿元。西五华里休闲文化街区等3个省、市重大项目，煤场地块等19个区级重大项目实现开工，万象天地等15个项目竣工，新增各类发展载体面积82.5万平方米。新华社地块、中航科技城等一批长期停滞项目取得明显突破，重大项目推进工作在全市保持领先地位。</w:t>
      </w:r>
    </w:p>
    <w:p w14:paraId="306288F7">
      <w:pPr>
        <w:jc w:val="center"/>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表五 重大项目进展情况</w:t>
      </w:r>
    </w:p>
    <w:tbl>
      <w:tblPr>
        <w:tblStyle w:val="12"/>
        <w:tblW w:w="0" w:type="auto"/>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0C97DE59">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2676D5F3">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主要领域</w:t>
            </w:r>
          </w:p>
        </w:tc>
        <w:tc>
          <w:tcPr>
            <w:tcW w:w="6742" w:type="dxa"/>
            <w:tcBorders>
              <w:top w:val="single" w:color="000000" w:sz="6" w:space="0"/>
              <w:bottom w:val="single" w:color="000000" w:sz="6" w:space="0"/>
            </w:tcBorders>
            <w:noWrap/>
            <w:vAlign w:val="center"/>
          </w:tcPr>
          <w:p w14:paraId="76F65107">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主要进展</w:t>
            </w:r>
          </w:p>
        </w:tc>
      </w:tr>
      <w:tr w14:paraId="11362F15">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95" w:hRule="atLeast"/>
          <w:jc w:val="center"/>
        </w:trPr>
        <w:tc>
          <w:tcPr>
            <w:tcW w:w="2078" w:type="dxa"/>
            <w:tcBorders>
              <w:top w:val="single" w:color="000000" w:sz="6" w:space="0"/>
              <w:bottom w:val="single" w:color="000000" w:sz="6" w:space="0"/>
            </w:tcBorders>
            <w:noWrap/>
            <w:vAlign w:val="center"/>
          </w:tcPr>
          <w:p w14:paraId="642F46F6">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新开工项目</w:t>
            </w:r>
          </w:p>
        </w:tc>
        <w:tc>
          <w:tcPr>
            <w:tcW w:w="6742" w:type="dxa"/>
            <w:tcBorders>
              <w:top w:val="single" w:color="000000" w:sz="6" w:space="0"/>
              <w:bottom w:val="single" w:color="000000" w:sz="6" w:space="0"/>
            </w:tcBorders>
            <w:noWrap/>
            <w:vAlign w:val="center"/>
          </w:tcPr>
          <w:p w14:paraId="6B595CCB">
            <w:pPr>
              <w:pStyle w:val="17"/>
            </w:pPr>
            <w:r>
              <w:t>威新科技服务中心商办部分地下室结构施工及土方外运；住宅部分主体结构施工</w:t>
            </w:r>
          </w:p>
          <w:p w14:paraId="78797A1F">
            <w:pPr>
              <w:pStyle w:val="17"/>
            </w:pPr>
            <w:r>
              <w:t>西五华里休闲文化街区桩基施工</w:t>
            </w:r>
          </w:p>
          <w:p w14:paraId="3D956A1B">
            <w:pPr>
              <w:pStyle w:val="17"/>
            </w:pPr>
            <w:r>
              <w:t>文和友项目（一期）内部装修设计</w:t>
            </w:r>
          </w:p>
        </w:tc>
      </w:tr>
      <w:tr w14:paraId="74154FFD">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7754041A">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在建项目</w:t>
            </w:r>
          </w:p>
        </w:tc>
        <w:tc>
          <w:tcPr>
            <w:tcW w:w="6742" w:type="dxa"/>
            <w:tcBorders>
              <w:top w:val="single" w:color="000000" w:sz="6" w:space="0"/>
              <w:bottom w:val="single" w:color="000000" w:sz="6" w:space="0"/>
            </w:tcBorders>
            <w:noWrap/>
            <w:vAlign w:val="center"/>
          </w:tcPr>
          <w:p w14:paraId="4548EE6A">
            <w:pPr>
              <w:pStyle w:val="17"/>
            </w:pPr>
            <w:r>
              <w:t>中牌楼保障房二期、分布文化总部大厦桩基及支撑梁施工</w:t>
            </w:r>
          </w:p>
          <w:p w14:paraId="2CD5647D">
            <w:pPr>
              <w:pStyle w:val="17"/>
            </w:pPr>
            <w:r>
              <w:t>白下高新数据产业园、大明路商办综合体、秦淮硅巷·航空发展大楼、人工智能产业大厦主体结构施工</w:t>
            </w:r>
          </w:p>
          <w:p w14:paraId="26F577A2">
            <w:pPr>
              <w:pStyle w:val="17"/>
            </w:pPr>
            <w:r>
              <w:t>南部新城健身中心、数字经济创新园完成主体结构施工</w:t>
            </w:r>
          </w:p>
          <w:p w14:paraId="2FCA9962">
            <w:pPr>
              <w:pStyle w:val="17"/>
            </w:pPr>
            <w:r>
              <w:t>金陵中环商办主体结构施工，酒店式公寓封顶并内部精装修，办公部分结构封顶</w:t>
            </w:r>
          </w:p>
          <w:p w14:paraId="2982AC2F">
            <w:pPr>
              <w:pStyle w:val="17"/>
            </w:pPr>
            <w:r>
              <w:t>中国第二历史档案馆新馆、南京银行消费金融中心、三十四标-南京新生活、顺德山庄商业商务综合楼工程收尾</w:t>
            </w:r>
          </w:p>
          <w:p w14:paraId="6950A861">
            <w:pPr>
              <w:pStyle w:val="17"/>
            </w:pPr>
            <w:r>
              <w:t>东部城市商业中心、观门口保障房、庆华社区中心、新化原总部准备竣工验收</w:t>
            </w:r>
          </w:p>
        </w:tc>
      </w:tr>
      <w:tr w14:paraId="3A130A5B">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12A6EBC5">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前期项目</w:t>
            </w:r>
          </w:p>
        </w:tc>
        <w:tc>
          <w:tcPr>
            <w:tcW w:w="6742" w:type="dxa"/>
            <w:tcBorders>
              <w:top w:val="single" w:color="000000" w:sz="6" w:space="0"/>
              <w:bottom w:val="single" w:color="000000" w:sz="6" w:space="0"/>
            </w:tcBorders>
            <w:noWrap/>
            <w:vAlign w:val="center"/>
          </w:tcPr>
          <w:p w14:paraId="6F5BD3C8">
            <w:pPr>
              <w:pStyle w:val="17"/>
            </w:pPr>
            <w:r>
              <w:t>新街口商务商贸大厦完成产业策划研究及城市设计方案中期成果</w:t>
            </w:r>
          </w:p>
          <w:p w14:paraId="07F6D01A">
            <w:pPr>
              <w:pStyle w:val="17"/>
            </w:pPr>
            <w:r>
              <w:t>牌楼、郑家营地块研究教育地块置换方案及公交场站复合利用事宜</w:t>
            </w:r>
          </w:p>
        </w:tc>
      </w:tr>
    </w:tbl>
    <w:p w14:paraId="63EAC0E4">
      <w:pPr>
        <w:pStyle w:val="17"/>
        <w:numPr>
          <w:ilvl w:val="0"/>
          <w:numId w:val="0"/>
        </w:numPr>
        <w:spacing w:line="520" w:lineRule="exact"/>
        <w:ind w:firstLine="640" w:firstLineChars="200"/>
        <w:rPr>
          <w:sz w:val="32"/>
          <w:szCs w:val="32"/>
        </w:rPr>
      </w:pPr>
      <w:r>
        <w:rPr>
          <w:bCs/>
          <w:kern w:val="0"/>
          <w:sz w:val="32"/>
          <w:szCs w:val="32"/>
        </w:rPr>
        <w:t>2、</w:t>
      </w:r>
      <w:r>
        <w:rPr>
          <w:rFonts w:eastAsia="方正楷体_GBK"/>
          <w:bCs/>
          <w:kern w:val="0"/>
          <w:sz w:val="32"/>
          <w:szCs w:val="32"/>
        </w:rPr>
        <w:t>消费结构转型升级。</w:t>
      </w:r>
      <w:r>
        <w:rPr>
          <w:sz w:val="32"/>
          <w:szCs w:val="32"/>
        </w:rPr>
        <w:t>华润万象天地开业，新百、印象汇等商业载体启动硬件改造和业态升级规划。成立秦淮区商业发展联盟，招引中国国家地理、茶颜悦色等高端消费品牌首店、旗舰店、形象店112家。策划消费促进活动460余场。新街口商圈创成国家级智慧商圈，实现5G全覆盖。“2022年度县市夜经济繁荣百佳样本”</w:t>
      </w:r>
      <w:r>
        <w:rPr>
          <w:rStyle w:val="16"/>
          <w:sz w:val="32"/>
          <w:szCs w:val="32"/>
        </w:rPr>
        <w:footnoteReference w:id="0"/>
      </w:r>
      <w:r>
        <w:rPr>
          <w:sz w:val="32"/>
          <w:szCs w:val="32"/>
        </w:rPr>
        <w:t>榜单中，秦淮位居全国第二。</w:t>
      </w:r>
    </w:p>
    <w:p w14:paraId="7D6C51CF">
      <w:pPr>
        <w:pStyle w:val="17"/>
        <w:numPr>
          <w:ilvl w:val="0"/>
          <w:numId w:val="0"/>
        </w:numPr>
        <w:spacing w:line="520" w:lineRule="exact"/>
        <w:ind w:firstLine="640" w:firstLineChars="200"/>
        <w:jc w:val="left"/>
        <w:rPr>
          <w:b/>
          <w:bCs/>
          <w:kern w:val="0"/>
          <w:sz w:val="32"/>
          <w:szCs w:val="32"/>
        </w:rPr>
      </w:pPr>
      <w:r>
        <w:rPr>
          <w:rFonts w:eastAsia="方正楷体_GBK"/>
          <w:bCs/>
          <w:kern w:val="0"/>
          <w:sz w:val="32"/>
          <w:szCs w:val="32"/>
        </w:rPr>
        <w:t>3、对外贸易持续巩固。</w:t>
      </w:r>
      <w:r>
        <w:rPr>
          <w:bCs/>
          <w:kern w:val="0"/>
          <w:sz w:val="32"/>
          <w:szCs w:val="32"/>
        </w:rPr>
        <w:t>开展汇鸿中天、汇鸿中鼎等7家内外贸一体化企业试点，江苏天策等3家企业获得AEO</w:t>
      </w:r>
      <w:r>
        <w:rPr>
          <w:rStyle w:val="16"/>
          <w:bCs/>
          <w:kern w:val="0"/>
          <w:sz w:val="32"/>
          <w:szCs w:val="32"/>
        </w:rPr>
        <w:footnoteReference w:id="1"/>
      </w:r>
      <w:r>
        <w:rPr>
          <w:bCs/>
          <w:kern w:val="0"/>
          <w:sz w:val="32"/>
          <w:szCs w:val="32"/>
        </w:rPr>
        <w:t>企业认证。实现服务外包执行额12.1亿美元，其中离岸执行额3.8亿美元，服务贸易进出口7亿美元。申报中艺储运、巴萨国际等省级服务贸易重点企业6家，数量位居全市第一。</w:t>
      </w:r>
    </w:p>
    <w:p w14:paraId="5D5F052D">
      <w:pPr>
        <w:jc w:val="center"/>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表六 开放水平进展情况</w:t>
      </w:r>
    </w:p>
    <w:tbl>
      <w:tblPr>
        <w:tblStyle w:val="12"/>
        <w:tblW w:w="8820" w:type="dxa"/>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7777AEE1">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71D8CF09">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主要领域</w:t>
            </w:r>
          </w:p>
        </w:tc>
        <w:tc>
          <w:tcPr>
            <w:tcW w:w="6742" w:type="dxa"/>
            <w:tcBorders>
              <w:top w:val="single" w:color="000000" w:sz="6" w:space="0"/>
              <w:bottom w:val="single" w:color="000000" w:sz="6" w:space="0"/>
            </w:tcBorders>
            <w:noWrap/>
            <w:vAlign w:val="center"/>
          </w:tcPr>
          <w:p w14:paraId="51ADAF87">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主要进展</w:t>
            </w:r>
          </w:p>
        </w:tc>
      </w:tr>
      <w:tr w14:paraId="7E4B8C64">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0" w:hRule="atLeast"/>
          <w:jc w:val="center"/>
        </w:trPr>
        <w:tc>
          <w:tcPr>
            <w:tcW w:w="2078" w:type="dxa"/>
            <w:tcBorders>
              <w:top w:val="single" w:color="000000" w:sz="6" w:space="0"/>
              <w:bottom w:val="single" w:color="000000" w:sz="6" w:space="0"/>
            </w:tcBorders>
            <w:noWrap/>
            <w:vAlign w:val="center"/>
          </w:tcPr>
          <w:p w14:paraId="66735408">
            <w:pPr>
              <w:spacing w:line="300" w:lineRule="exact"/>
              <w:jc w:val="center"/>
              <w:rPr>
                <w:rFonts w:ascii="Times New Roman" w:hAnsi="Times New Roman" w:eastAsia="方正仿宋_GBK" w:cs="Times New Roman"/>
              </w:rPr>
            </w:pPr>
            <w:r>
              <w:rPr>
                <w:rFonts w:ascii="Times New Roman" w:hAnsi="Times New Roman" w:eastAsia="方正仿宋_GBK" w:cs="Times New Roman"/>
                <w:b/>
                <w:iCs/>
                <w:kern w:val="0"/>
                <w:sz w:val="24"/>
              </w:rPr>
              <w:t>消费</w:t>
            </w:r>
          </w:p>
        </w:tc>
        <w:tc>
          <w:tcPr>
            <w:tcW w:w="6742" w:type="dxa"/>
            <w:tcBorders>
              <w:top w:val="single" w:color="000000" w:sz="6" w:space="0"/>
              <w:bottom w:val="single" w:color="000000" w:sz="6" w:space="0"/>
            </w:tcBorders>
            <w:noWrap/>
            <w:vAlign w:val="center"/>
          </w:tcPr>
          <w:p w14:paraId="1873CA72">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秦淮区获评全市唯一省级现代商贸流通体系建设示范区</w:t>
            </w:r>
          </w:p>
          <w:p w14:paraId="3BA5387B">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门东获批首批“江苏示范步行街”，春节两度亮相《新闻联播》</w:t>
            </w:r>
          </w:p>
          <w:p w14:paraId="709D0AEE">
            <w:pPr>
              <w:numPr>
                <w:ilvl w:val="0"/>
                <w:numId w:val="2"/>
              </w:numPr>
              <w:spacing w:line="300" w:lineRule="exact"/>
              <w:rPr>
                <w:rFonts w:ascii="Times New Roman" w:hAnsi="Times New Roman" w:cs="Times New Roman"/>
              </w:rPr>
            </w:pPr>
            <w:r>
              <w:rPr>
                <w:rFonts w:ascii="Times New Roman" w:hAnsi="Times New Roman" w:eastAsia="方正仿宋_GBK" w:cs="Times New Roman"/>
                <w:kern w:val="0"/>
                <w:sz w:val="24"/>
              </w:rPr>
              <w:t>苏豪云商获评省级数字商务企业，新增6家市级数字商务企业，妃鱼等一批闲置奢侈品头部电商企业落户秦淮</w:t>
            </w:r>
          </w:p>
        </w:tc>
      </w:tr>
      <w:tr w14:paraId="3374FC7C">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995" w:hRule="atLeast"/>
          <w:jc w:val="center"/>
        </w:trPr>
        <w:tc>
          <w:tcPr>
            <w:tcW w:w="2078" w:type="dxa"/>
            <w:tcBorders>
              <w:top w:val="single" w:color="000000" w:sz="6" w:space="0"/>
              <w:bottom w:val="single" w:color="000000" w:sz="6" w:space="0"/>
            </w:tcBorders>
            <w:noWrap/>
            <w:vAlign w:val="center"/>
          </w:tcPr>
          <w:p w14:paraId="32E08F5D">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外资</w:t>
            </w:r>
          </w:p>
        </w:tc>
        <w:tc>
          <w:tcPr>
            <w:tcW w:w="6742" w:type="dxa"/>
            <w:tcBorders>
              <w:top w:val="single" w:color="000000" w:sz="6" w:space="0"/>
              <w:bottom w:val="single" w:color="000000" w:sz="6" w:space="0"/>
            </w:tcBorders>
            <w:noWrap/>
            <w:vAlign w:val="center"/>
          </w:tcPr>
          <w:p w14:paraId="7B178D61">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申报2023年市级开放型经济发展入库项目57个，涉及资金2431万元</w:t>
            </w:r>
          </w:p>
          <w:p w14:paraId="44BF24BC">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19家跨境电商企业完成专项经费申报，涉及资金1543万元</w:t>
            </w:r>
          </w:p>
        </w:tc>
      </w:tr>
      <w:tr w14:paraId="08DC27A8">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1530" w:hRule="atLeast"/>
          <w:jc w:val="center"/>
        </w:trPr>
        <w:tc>
          <w:tcPr>
            <w:tcW w:w="2078" w:type="dxa"/>
            <w:tcBorders>
              <w:top w:val="single" w:color="000000" w:sz="6" w:space="0"/>
              <w:bottom w:val="single" w:color="000000" w:sz="6" w:space="0"/>
            </w:tcBorders>
            <w:noWrap/>
            <w:vAlign w:val="center"/>
          </w:tcPr>
          <w:p w14:paraId="0EEAB497">
            <w:pPr>
              <w:spacing w:line="300" w:lineRule="exact"/>
              <w:jc w:val="center"/>
              <w:rPr>
                <w:rFonts w:ascii="Times New Roman" w:hAnsi="Times New Roman" w:eastAsia="方正仿宋_GBK" w:cs="Times New Roman"/>
                <w:kern w:val="0"/>
                <w:sz w:val="24"/>
              </w:rPr>
            </w:pPr>
            <w:r>
              <w:rPr>
                <w:rFonts w:ascii="Times New Roman" w:hAnsi="Times New Roman" w:eastAsia="方正仿宋_GBK" w:cs="Times New Roman"/>
                <w:b/>
                <w:iCs/>
                <w:kern w:val="0"/>
                <w:sz w:val="24"/>
              </w:rPr>
              <w:t>外贸</w:t>
            </w:r>
          </w:p>
        </w:tc>
        <w:tc>
          <w:tcPr>
            <w:tcW w:w="6742" w:type="dxa"/>
            <w:tcBorders>
              <w:top w:val="single" w:color="000000" w:sz="6" w:space="0"/>
              <w:bottom w:val="single" w:color="000000" w:sz="6" w:space="0"/>
            </w:tcBorders>
            <w:noWrap/>
            <w:vAlign w:val="center"/>
          </w:tcPr>
          <w:p w14:paraId="7CF1E633">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成立“外经贸发展互助联盟”，为企业带来政策护航、信保护航、人才护航、金融护航、通关护航、权益护航六大专项行动，多措并举推动外贸发展稳中提质</w:t>
            </w:r>
          </w:p>
          <w:p w14:paraId="46CB7DF8">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开展出口信用保险、支持品牌企业发展等专项资金扶持，拨付资金4663万元，惠及企业281家</w:t>
            </w:r>
          </w:p>
        </w:tc>
      </w:tr>
    </w:tbl>
    <w:p w14:paraId="433FDC0F">
      <w:pPr>
        <w:spacing w:line="560" w:lineRule="exact"/>
        <w:ind w:firstLine="640" w:firstLineChars="200"/>
        <w:outlineLvl w:val="1"/>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五、精细建管，城市人居环境不断优化</w:t>
      </w:r>
    </w:p>
    <w:p w14:paraId="218F2FA6">
      <w:pPr>
        <w:spacing w:line="520" w:lineRule="exact"/>
        <w:ind w:firstLine="640" w:firstLineChars="200"/>
        <w:rPr>
          <w:rFonts w:ascii="Times New Roman" w:hAnsi="Times New Roman" w:eastAsia="方正仿宋_GBK" w:cs="Times New Roman"/>
          <w:bCs/>
          <w:kern w:val="0"/>
          <w:sz w:val="32"/>
          <w:szCs w:val="32"/>
        </w:rPr>
      </w:pPr>
      <w:r>
        <w:rPr>
          <w:rFonts w:ascii="Times New Roman" w:hAnsi="Times New Roman" w:eastAsia="方正楷体_GBK" w:cs="Times New Roman"/>
          <w:bCs/>
          <w:kern w:val="0"/>
          <w:sz w:val="32"/>
          <w:szCs w:val="32"/>
        </w:rPr>
        <w:t>1、新城框架基本成型。</w:t>
      </w:r>
      <w:r>
        <w:rPr>
          <w:rFonts w:ascii="Times New Roman" w:hAnsi="Times New Roman" w:eastAsia="方正仿宋_GBK" w:cs="Times New Roman"/>
          <w:bCs/>
          <w:kern w:val="0"/>
          <w:sz w:val="32"/>
          <w:szCs w:val="32"/>
        </w:rPr>
        <w:t>南部新城外围打通应天东街、承天大道等连接通道，域内完成42公里道路体系，地下完成23公里管廊建设，“小街区密路网”特色路网体系初步形成。基本完成12公里活力水环水体治理和岸坡建设，建成28座内外河桥梁，滨水活力带已现雏形。夹岗教育配套、市不动产档案馆投入使用，南京外国语学校、中国第二历史档案馆新馆竣工，南京中芬合作交流中心、南部新城全民健身中心项目主体钢结构封顶。</w:t>
      </w:r>
    </w:p>
    <w:p w14:paraId="6A6770CB">
      <w:pPr>
        <w:spacing w:line="52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楷体_GBK" w:cs="Times New Roman"/>
          <w:bCs/>
          <w:kern w:val="0"/>
          <w:sz w:val="32"/>
          <w:szCs w:val="32"/>
        </w:rPr>
        <w:t>2、老城更新成效显著。</w:t>
      </w:r>
      <w:r>
        <w:rPr>
          <w:rFonts w:ascii="Times New Roman" w:hAnsi="Times New Roman" w:eastAsia="方正仿宋_GBK" w:cs="Times New Roman"/>
          <w:sz w:val="32"/>
          <w:szCs w:val="32"/>
        </w:rPr>
        <w:t>初步完成城市体检，</w:t>
      </w:r>
      <w:r>
        <w:rPr>
          <w:rFonts w:ascii="Times New Roman" w:hAnsi="Times New Roman" w:eastAsia="方正仿宋_GBK" w:cs="Times New Roman"/>
          <w:color w:val="000000"/>
          <w:sz w:val="32"/>
          <w:szCs w:val="32"/>
        </w:rPr>
        <w:t>编制《秦淮区“十四五”城市更新行动计划》，</w:t>
      </w:r>
      <w:r>
        <w:rPr>
          <w:rFonts w:ascii="Times New Roman" w:hAnsi="Times New Roman" w:eastAsia="方正仿宋_GBK" w:cs="Times New Roman"/>
          <w:sz w:val="32"/>
          <w:szCs w:val="32"/>
        </w:rPr>
        <w:t>稳步推进年度“11+3+1+13”</w:t>
      </w:r>
      <w:r>
        <w:rPr>
          <w:rStyle w:val="16"/>
          <w:rFonts w:ascii="Times New Roman" w:hAnsi="Times New Roman" w:eastAsia="方正仿宋_GBK" w:cs="Times New Roman"/>
          <w:color w:val="000000"/>
          <w:kern w:val="0"/>
          <w:sz w:val="32"/>
          <w:szCs w:val="32"/>
        </w:rPr>
        <w:footnoteReference w:id="2"/>
      </w:r>
      <w:r>
        <w:rPr>
          <w:rFonts w:ascii="Times New Roman" w:hAnsi="Times New Roman" w:eastAsia="方正仿宋_GBK" w:cs="Times New Roman"/>
          <w:sz w:val="32"/>
          <w:szCs w:val="32"/>
        </w:rPr>
        <w:t>城市更新项目</w:t>
      </w:r>
      <w:r>
        <w:rPr>
          <w:rFonts w:ascii="Times New Roman" w:hAnsi="Times New Roman" w:eastAsia="方正仿宋_GBK" w:cs="Times New Roman"/>
          <w:color w:val="000000"/>
          <w:sz w:val="32"/>
          <w:szCs w:val="32"/>
        </w:rPr>
        <w:t>。荷花塘、小松涛巷等7个更新项目列为省市级试点，小西湖项目获联合国教科文组织亚太地区文化遗产保护奖，城市更新试点项目数量位居全市第一、全省前列，城市更新工作获省政府督查激励。实施20个老旧小区改造项目，涉及建筑面积49万平方米，受惠居民约7723户。</w:t>
      </w:r>
    </w:p>
    <w:p w14:paraId="3C627414">
      <w:pPr>
        <w:pStyle w:val="2"/>
        <w:spacing w:line="520" w:lineRule="exact"/>
        <w:ind w:firstLine="640" w:firstLineChars="200"/>
        <w:rPr>
          <w:rFonts w:ascii="Times New Roman" w:hAnsi="Times New Roman" w:eastAsia="方正仿宋_GBK" w:cs="Times New Roman"/>
          <w:kern w:val="0"/>
          <w:sz w:val="32"/>
          <w:szCs w:val="32"/>
        </w:rPr>
      </w:pPr>
      <w:r>
        <w:rPr>
          <w:rFonts w:ascii="Times New Roman" w:hAnsi="Times New Roman" w:eastAsia="方正楷体_GBK" w:cs="Times New Roman"/>
          <w:bCs/>
          <w:kern w:val="0"/>
          <w:sz w:val="32"/>
          <w:szCs w:val="32"/>
        </w:rPr>
        <w:t>3、人居环境持续优化。</w:t>
      </w:r>
      <w:r>
        <w:rPr>
          <w:rFonts w:ascii="Times New Roman" w:hAnsi="Times New Roman" w:eastAsia="方正仿宋_GBK" w:cs="Times New Roman"/>
          <w:kern w:val="0"/>
          <w:sz w:val="32"/>
          <w:szCs w:val="32"/>
        </w:rPr>
        <w:t>启动实施</w:t>
      </w:r>
      <w:r>
        <w:rPr>
          <w:rFonts w:ascii="Times New Roman" w:hAnsi="Times New Roman" w:eastAsia="方正仿宋_GBK" w:cs="Times New Roman"/>
          <w:sz w:val="32"/>
          <w:szCs w:val="32"/>
        </w:rPr>
        <w:t>李府街（南段）等4条道路建设，建成4个社会公共停车场，新增各类停车泊位4253个。完成小西湖路等5个环境综合整治工程，实施6个微更新项目、建成</w:t>
      </w:r>
      <w:r>
        <w:rPr>
          <w:rFonts w:ascii="Times New Roman" w:hAnsi="Times New Roman" w:eastAsia="方正仿宋_GBK" w:cs="Times New Roman"/>
          <w:kern w:val="0"/>
          <w:sz w:val="32"/>
          <w:szCs w:val="32"/>
        </w:rPr>
        <w:t>2个口袋公园、</w:t>
      </w:r>
      <w:r>
        <w:rPr>
          <w:rFonts w:ascii="Times New Roman" w:hAnsi="Times New Roman" w:eastAsia="方正仿宋_GBK" w:cs="Times New Roman"/>
          <w:snapToGrid w:val="0"/>
          <w:kern w:val="32"/>
          <w:sz w:val="32"/>
          <w:szCs w:val="20"/>
        </w:rPr>
        <w:t>4处</w:t>
      </w:r>
      <w:r>
        <w:rPr>
          <w:rFonts w:ascii="Times New Roman" w:hAnsi="Times New Roman" w:eastAsia="方正仿宋_GBK" w:cs="Times New Roman"/>
          <w:sz w:val="32"/>
          <w:szCs w:val="32"/>
        </w:rPr>
        <w:t>小型城市客厅</w:t>
      </w:r>
      <w:r>
        <w:rPr>
          <w:rFonts w:ascii="Times New Roman" w:hAnsi="Times New Roman" w:eastAsia="方正仿宋_GBK" w:cs="Times New Roman"/>
          <w:snapToGrid w:val="0"/>
          <w:kern w:val="32"/>
          <w:sz w:val="32"/>
          <w:szCs w:val="20"/>
        </w:rPr>
        <w:t>。</w:t>
      </w:r>
      <w:r>
        <w:rPr>
          <w:rFonts w:ascii="Times New Roman" w:hAnsi="Times New Roman" w:eastAsia="方正仿宋_GBK" w:cs="Times New Roman"/>
          <w:kern w:val="0"/>
          <w:sz w:val="32"/>
          <w:szCs w:val="32"/>
        </w:rPr>
        <w:t>落实“屯兵街面”，实现道路街巷24小时管理养护全覆盖。创建85个垃圾分类省级达标小区，889个小区垃圾分拣全线运行回收模式。PM2.5浓度下降5.5%，空气优良率达80.2%，居主城前列。8个市考以上断面均值达标率100%。西玉带河、清水塘等13条河湖创成幸福河湖。</w:t>
      </w:r>
      <w:r>
        <w:rPr>
          <w:rFonts w:ascii="Times New Roman" w:hAnsi="Times New Roman" w:eastAsia="方正仿宋_GBK" w:cs="Times New Roman"/>
          <w:sz w:val="32"/>
          <w:szCs w:val="32"/>
        </w:rPr>
        <w:t>编制《秦淮区推进碳达峰碳中和工作方案》，</w:t>
      </w:r>
      <w:r>
        <w:rPr>
          <w:rFonts w:ascii="Times New Roman" w:hAnsi="Times New Roman" w:eastAsia="方正仿宋_GBK" w:cs="Times New Roman"/>
          <w:kern w:val="0"/>
          <w:sz w:val="32"/>
          <w:szCs w:val="32"/>
        </w:rPr>
        <w:t>加快低碳产业园建设和示范项目打造，探索</w:t>
      </w:r>
      <w:r>
        <w:rPr>
          <w:rFonts w:ascii="Times New Roman" w:hAnsi="Times New Roman" w:eastAsia="方正仿宋_GBK" w:cs="Times New Roman"/>
          <w:kern w:val="0"/>
          <w:sz w:val="31"/>
          <w:szCs w:val="31"/>
        </w:rPr>
        <w:t>节能固碳和生态价值核算体系。</w:t>
      </w:r>
    </w:p>
    <w:p w14:paraId="11E9B30D">
      <w:pPr>
        <w:jc w:val="center"/>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表七 精细化建管和生态环境情况</w:t>
      </w:r>
    </w:p>
    <w:tbl>
      <w:tblPr>
        <w:tblStyle w:val="12"/>
        <w:tblW w:w="8820" w:type="dxa"/>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223EA126">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7B6AC6B7">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主要领域</w:t>
            </w:r>
          </w:p>
        </w:tc>
        <w:tc>
          <w:tcPr>
            <w:tcW w:w="6742" w:type="dxa"/>
            <w:tcBorders>
              <w:top w:val="single" w:color="000000" w:sz="6" w:space="0"/>
              <w:bottom w:val="single" w:color="000000" w:sz="6" w:space="0"/>
            </w:tcBorders>
            <w:noWrap/>
            <w:vAlign w:val="center"/>
          </w:tcPr>
          <w:p w14:paraId="47B43726">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主要进展</w:t>
            </w:r>
          </w:p>
        </w:tc>
      </w:tr>
      <w:tr w14:paraId="29CFC64A">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95" w:hRule="atLeast"/>
          <w:jc w:val="center"/>
        </w:trPr>
        <w:tc>
          <w:tcPr>
            <w:tcW w:w="2078" w:type="dxa"/>
            <w:tcBorders>
              <w:top w:val="single" w:color="000000" w:sz="6" w:space="0"/>
              <w:bottom w:val="single" w:color="000000" w:sz="6" w:space="0"/>
            </w:tcBorders>
            <w:noWrap/>
            <w:vAlign w:val="center"/>
          </w:tcPr>
          <w:p w14:paraId="2E169ED2">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新城建设</w:t>
            </w:r>
          </w:p>
        </w:tc>
        <w:tc>
          <w:tcPr>
            <w:tcW w:w="6742" w:type="dxa"/>
            <w:tcBorders>
              <w:top w:val="single" w:color="000000" w:sz="6" w:space="0"/>
              <w:bottom w:val="single" w:color="000000" w:sz="6" w:space="0"/>
            </w:tcBorders>
            <w:noWrap/>
            <w:vAlign w:val="center"/>
          </w:tcPr>
          <w:p w14:paraId="3573380D">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南部新城举行可再生能源集中供能合作签约仪式</w:t>
            </w:r>
          </w:p>
          <w:p w14:paraId="750AE0FA">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华能光伏开发项目线上签约落户白下高新区，LG屋顶光伏开工建设</w:t>
            </w:r>
          </w:p>
          <w:p w14:paraId="4E43C339">
            <w:pPr>
              <w:numPr>
                <w:ilvl w:val="0"/>
                <w:numId w:val="2"/>
              </w:numPr>
              <w:spacing w:line="300" w:lineRule="exact"/>
              <w:rPr>
                <w:rFonts w:ascii="Times New Roman" w:hAnsi="Times New Roman" w:cs="Times New Roman"/>
              </w:rPr>
            </w:pPr>
            <w:r>
              <w:rPr>
                <w:rFonts w:ascii="Times New Roman" w:hAnsi="Times New Roman" w:eastAsia="方正仿宋_GBK" w:cs="Times New Roman"/>
                <w:kern w:val="0"/>
                <w:sz w:val="24"/>
              </w:rPr>
              <w:t>完成南外学校等6个5G站点建设，接入约1400个感知设备、260路视频监控</w:t>
            </w:r>
          </w:p>
        </w:tc>
      </w:tr>
      <w:tr w14:paraId="780A06FE">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95" w:hRule="atLeast"/>
          <w:jc w:val="center"/>
        </w:trPr>
        <w:tc>
          <w:tcPr>
            <w:tcW w:w="2078" w:type="dxa"/>
            <w:tcBorders>
              <w:top w:val="single" w:color="000000" w:sz="6" w:space="0"/>
              <w:bottom w:val="single" w:color="000000" w:sz="6" w:space="0"/>
            </w:tcBorders>
            <w:noWrap/>
            <w:vAlign w:val="center"/>
          </w:tcPr>
          <w:p w14:paraId="3A128A7F">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老城更新</w:t>
            </w:r>
          </w:p>
        </w:tc>
        <w:tc>
          <w:tcPr>
            <w:tcW w:w="6742" w:type="dxa"/>
            <w:tcBorders>
              <w:top w:val="single" w:color="000000" w:sz="6" w:space="0"/>
              <w:bottom w:val="single" w:color="000000" w:sz="6" w:space="0"/>
            </w:tcBorders>
            <w:noWrap/>
            <w:vAlign w:val="center"/>
          </w:tcPr>
          <w:p w14:paraId="0455C164">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石榴新村、小西湖和大阳沟地块已进场施工</w:t>
            </w:r>
          </w:p>
          <w:p w14:paraId="7AD427E2">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荷花塘历史文化街区管廊试验段和复兴巷5号办理开工前期手续</w:t>
            </w:r>
          </w:p>
          <w:p w14:paraId="36FA703D">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小松涛巷地块城市更新项目规划设计方案及控详调整方案已领取市政府批复意见</w:t>
            </w:r>
          </w:p>
          <w:p w14:paraId="0BDBD428">
            <w:pPr>
              <w:numPr>
                <w:ilvl w:val="0"/>
                <w:numId w:val="2"/>
              </w:numPr>
              <w:spacing w:line="300" w:lineRule="exact"/>
              <w:rPr>
                <w:rFonts w:ascii="Times New Roman" w:hAnsi="Times New Roman" w:eastAsia="方正仿宋_GBK" w:cs="Times New Roman"/>
                <w:sz w:val="24"/>
              </w:rPr>
            </w:pPr>
            <w:r>
              <w:rPr>
                <w:rFonts w:ascii="Times New Roman" w:hAnsi="Times New Roman" w:eastAsia="方正仿宋_GBK" w:cs="Times New Roman"/>
                <w:kern w:val="0"/>
                <w:sz w:val="24"/>
              </w:rPr>
              <w:t>黑廊巷城市更新项目开展规划研究</w:t>
            </w:r>
          </w:p>
        </w:tc>
      </w:tr>
      <w:tr w14:paraId="03A311F1">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95" w:hRule="atLeast"/>
          <w:jc w:val="center"/>
        </w:trPr>
        <w:tc>
          <w:tcPr>
            <w:tcW w:w="2078" w:type="dxa"/>
            <w:tcBorders>
              <w:top w:val="single" w:color="000000" w:sz="6" w:space="0"/>
              <w:bottom w:val="single" w:color="000000" w:sz="6" w:space="0"/>
            </w:tcBorders>
            <w:noWrap/>
            <w:vAlign w:val="center"/>
          </w:tcPr>
          <w:p w14:paraId="3E8CD537">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精细建管</w:t>
            </w:r>
          </w:p>
        </w:tc>
        <w:tc>
          <w:tcPr>
            <w:tcW w:w="6742" w:type="dxa"/>
            <w:tcBorders>
              <w:top w:val="single" w:color="000000" w:sz="6" w:space="0"/>
              <w:bottom w:val="single" w:color="000000" w:sz="6" w:space="0"/>
            </w:tcBorders>
            <w:noWrap/>
            <w:vAlign w:val="center"/>
          </w:tcPr>
          <w:p w14:paraId="18F5A530">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完成文安街等22条道路大修</w:t>
            </w:r>
          </w:p>
          <w:p w14:paraId="71709F3C">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严控新增违建，有序拆除各类违建7.2万平方米</w:t>
            </w:r>
          </w:p>
          <w:p w14:paraId="395A03C0">
            <w:pPr>
              <w:numPr>
                <w:ilvl w:val="0"/>
                <w:numId w:val="2"/>
              </w:numPr>
              <w:spacing w:line="300" w:lineRule="exact"/>
              <w:rPr>
                <w:rFonts w:ascii="Times New Roman" w:hAnsi="Times New Roman" w:eastAsia="方正仿宋_GBK" w:cs="Times New Roman"/>
                <w:sz w:val="24"/>
              </w:rPr>
            </w:pPr>
            <w:r>
              <w:rPr>
                <w:rFonts w:ascii="Times New Roman" w:hAnsi="Times New Roman" w:eastAsia="方正仿宋_GBK" w:cs="Times New Roman"/>
                <w:kern w:val="0"/>
                <w:sz w:val="24"/>
              </w:rPr>
              <w:t>完成朝天宫西街、解放南路等162条路盲道整治项目</w:t>
            </w:r>
          </w:p>
        </w:tc>
      </w:tr>
      <w:tr w14:paraId="683708BE">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495" w:hRule="atLeast"/>
          <w:jc w:val="center"/>
        </w:trPr>
        <w:tc>
          <w:tcPr>
            <w:tcW w:w="2078" w:type="dxa"/>
            <w:tcBorders>
              <w:top w:val="single" w:color="000000" w:sz="6" w:space="0"/>
              <w:bottom w:val="single" w:color="000000" w:sz="6" w:space="0"/>
            </w:tcBorders>
            <w:noWrap/>
            <w:vAlign w:val="center"/>
          </w:tcPr>
          <w:p w14:paraId="6E76DA36">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生态环境</w:t>
            </w:r>
          </w:p>
        </w:tc>
        <w:tc>
          <w:tcPr>
            <w:tcW w:w="6742" w:type="dxa"/>
            <w:tcBorders>
              <w:top w:val="single" w:color="000000" w:sz="6" w:space="0"/>
              <w:bottom w:val="single" w:color="000000" w:sz="6" w:space="0"/>
            </w:tcBorders>
            <w:noWrap/>
            <w:vAlign w:val="center"/>
          </w:tcPr>
          <w:p w14:paraId="76A97495">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累计清疏支管289.19公里，清捞检查井7.11万座，清捞雨水井7.66万座</w:t>
            </w:r>
          </w:p>
          <w:p w14:paraId="1B49CAAF">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完成秦淮河饮马桥段等消险整治项目</w:t>
            </w:r>
          </w:p>
          <w:p w14:paraId="409AC709">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与远大能源有限公司开展再生水热泵技术合作，在南部新城240万平方米核心区启动集中式供冷供暖工程</w:t>
            </w:r>
          </w:p>
        </w:tc>
      </w:tr>
    </w:tbl>
    <w:p w14:paraId="2D796957">
      <w:pPr>
        <w:spacing w:line="560" w:lineRule="exact"/>
        <w:ind w:firstLine="640" w:firstLineChars="200"/>
        <w:outlineLvl w:val="1"/>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六、服务民生，居民生活保障更加健全</w:t>
      </w:r>
    </w:p>
    <w:p w14:paraId="6549D8D7">
      <w:pPr>
        <w:pStyle w:val="2"/>
        <w:spacing w:line="52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bCs/>
          <w:kern w:val="0"/>
          <w:sz w:val="32"/>
          <w:szCs w:val="32"/>
        </w:rPr>
        <w:t>1、社会保障体系更加健全。</w:t>
      </w:r>
      <w:r>
        <w:rPr>
          <w:rFonts w:ascii="Times New Roman" w:hAnsi="Times New Roman" w:eastAsia="方正仿宋_GBK" w:cs="Times New Roman"/>
          <w:sz w:val="32"/>
          <w:szCs w:val="32"/>
        </w:rPr>
        <w:t>新增大学生就业参保7.3万人，总量位居全市第一。实施阶段性降低失业保险费率，惠及全区2.2万余家企业。</w:t>
      </w:r>
      <w:r>
        <w:rPr>
          <w:rFonts w:ascii="Times New Roman" w:hAnsi="Times New Roman" w:eastAsia="方正仿宋_GBK" w:cs="Times New Roman"/>
          <w:sz w:val="32"/>
          <w:szCs w:val="32"/>
          <w:shd w:val="clear" w:color="auto" w:fill="FFFFFF"/>
        </w:rPr>
        <w:t>推进LG北侧社区中心养老服务项目，新增机构床位350张。</w:t>
      </w:r>
      <w:r>
        <w:rPr>
          <w:rFonts w:ascii="Times New Roman" w:hAnsi="Times New Roman" w:eastAsia="方正仿宋_GBK" w:cs="Times New Roman"/>
          <w:sz w:val="32"/>
          <w:szCs w:val="32"/>
        </w:rPr>
        <w:t>完成上门服务居家老人数2.4万人，开展老年人运用智能技术普及培训4500余人次。累计救助困难群众15万</w:t>
      </w:r>
      <w:r>
        <w:rPr>
          <w:rFonts w:ascii="Times New Roman" w:hAnsi="Times New Roman" w:eastAsia="方正仿宋_GBK" w:cs="Times New Roman"/>
          <w:kern w:val="0"/>
          <w:sz w:val="32"/>
          <w:szCs w:val="32"/>
        </w:rPr>
        <w:t>人次，发放各类救助补贴金超8000万元</w:t>
      </w:r>
      <w:r>
        <w:rPr>
          <w:rFonts w:ascii="Times New Roman" w:hAnsi="Times New Roman" w:eastAsia="方正仿宋_GBK" w:cs="Times New Roman"/>
          <w:sz w:val="32"/>
          <w:szCs w:val="32"/>
        </w:rPr>
        <w:t>。</w:t>
      </w:r>
      <w:r>
        <w:rPr>
          <w:rFonts w:ascii="Times New Roman" w:hAnsi="Times New Roman" w:eastAsia="方正仿宋_GBK" w:cs="Times New Roman"/>
          <w:kern w:val="0"/>
          <w:sz w:val="32"/>
          <w:szCs w:val="32"/>
        </w:rPr>
        <w:t>建成全市首个</w:t>
      </w:r>
      <w:r>
        <w:rPr>
          <w:rFonts w:ascii="Times New Roman" w:hAnsi="Times New Roman" w:eastAsia="方正仿宋_GBK" w:cs="Times New Roman"/>
          <w:sz w:val="32"/>
          <w:szCs w:val="32"/>
        </w:rPr>
        <w:t>共有产权住房项目“观泓雅苑”，有力保障新市民居住需求。</w:t>
      </w:r>
    </w:p>
    <w:p w14:paraId="521A6678">
      <w:pPr>
        <w:jc w:val="center"/>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表八 民生保障进展情况</w:t>
      </w:r>
    </w:p>
    <w:tbl>
      <w:tblPr>
        <w:tblStyle w:val="12"/>
        <w:tblW w:w="8820" w:type="dxa"/>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2BA3B197">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0516A2EE">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主要领域</w:t>
            </w:r>
          </w:p>
        </w:tc>
        <w:tc>
          <w:tcPr>
            <w:tcW w:w="6742" w:type="dxa"/>
            <w:tcBorders>
              <w:top w:val="single" w:color="000000" w:sz="6" w:space="0"/>
              <w:bottom w:val="single" w:color="000000" w:sz="6" w:space="0"/>
            </w:tcBorders>
            <w:noWrap/>
            <w:vAlign w:val="center"/>
          </w:tcPr>
          <w:p w14:paraId="29E6C131">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主要进展</w:t>
            </w:r>
          </w:p>
        </w:tc>
      </w:tr>
      <w:tr w14:paraId="671E6CC0">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79248574">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就业创业</w:t>
            </w:r>
          </w:p>
        </w:tc>
        <w:tc>
          <w:tcPr>
            <w:tcW w:w="6742" w:type="dxa"/>
            <w:tcBorders>
              <w:top w:val="single" w:color="000000" w:sz="6" w:space="0"/>
              <w:bottom w:val="single" w:color="000000" w:sz="6" w:space="0"/>
            </w:tcBorders>
            <w:noWrap/>
            <w:vAlign w:val="center"/>
          </w:tcPr>
          <w:p w14:paraId="4C618085">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城镇新增就业2.82万人、城镇失业人员就业1.78万人、就业困难人员就业2440人</w:t>
            </w:r>
          </w:p>
          <w:p w14:paraId="3A2D4EE9">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支持成功自主创业4295人、引领大学生创业810人</w:t>
            </w:r>
          </w:p>
          <w:p w14:paraId="235F9148">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补贴性职业技能培训1.3万人次、职业鉴定取证8476人</w:t>
            </w:r>
          </w:p>
        </w:tc>
      </w:tr>
      <w:tr w14:paraId="33D0286C">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4EEA8769">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社会帮扶</w:t>
            </w:r>
          </w:p>
        </w:tc>
        <w:tc>
          <w:tcPr>
            <w:tcW w:w="6742" w:type="dxa"/>
            <w:tcBorders>
              <w:top w:val="single" w:color="000000" w:sz="6" w:space="0"/>
              <w:bottom w:val="single" w:color="000000" w:sz="6" w:space="0"/>
            </w:tcBorders>
            <w:noWrap/>
            <w:vAlign w:val="center"/>
          </w:tcPr>
          <w:p w14:paraId="153F9573">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全面建立养老服务时间银行制度，完成服务69500单，时间存储量达到36000小时</w:t>
            </w:r>
          </w:p>
          <w:p w14:paraId="42D85E21">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针对特殊困难的高龄、低保、计生特扶、失能等家庭开展适老化改造，完成530户</w:t>
            </w:r>
          </w:p>
          <w:p w14:paraId="50F8E949">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新建家庭养老床位654张；完成政府购买服务对象服务914名</w:t>
            </w:r>
          </w:p>
        </w:tc>
      </w:tr>
      <w:tr w14:paraId="19B65145">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309C9C34">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保障房建设</w:t>
            </w:r>
          </w:p>
        </w:tc>
        <w:tc>
          <w:tcPr>
            <w:tcW w:w="6742" w:type="dxa"/>
            <w:tcBorders>
              <w:top w:val="single" w:color="000000" w:sz="6" w:space="0"/>
              <w:bottom w:val="single" w:color="000000" w:sz="6" w:space="0"/>
            </w:tcBorders>
            <w:noWrap/>
            <w:vAlign w:val="center"/>
          </w:tcPr>
          <w:p w14:paraId="42FCEA7E">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杨庄北侧保障房住宅地块进行主体施工，其中14栋已完成主体验收</w:t>
            </w:r>
          </w:p>
          <w:p w14:paraId="43921736">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观门口保障房完成主体及外立面施工，室外及景观施工收尾，同步推进配套道路施工，计划2023年6月竣工交付</w:t>
            </w:r>
          </w:p>
          <w:p w14:paraId="39259460">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中牌楼项目一期正在开展各项验收工作，二期b地块桩基施工</w:t>
            </w:r>
          </w:p>
        </w:tc>
      </w:tr>
    </w:tbl>
    <w:p w14:paraId="13CDEC30">
      <w:pPr>
        <w:pStyle w:val="17"/>
        <w:numPr>
          <w:ilvl w:val="0"/>
          <w:numId w:val="0"/>
        </w:numPr>
        <w:spacing w:line="520" w:lineRule="exact"/>
        <w:ind w:firstLine="640" w:firstLineChars="200"/>
        <w:rPr>
          <w:rFonts w:eastAsia="方正楷体_GBK"/>
          <w:bCs/>
          <w:kern w:val="0"/>
          <w:sz w:val="32"/>
          <w:szCs w:val="32"/>
        </w:rPr>
      </w:pPr>
      <w:r>
        <w:rPr>
          <w:rFonts w:eastAsia="方正楷体_GBK"/>
          <w:bCs/>
          <w:kern w:val="0"/>
          <w:sz w:val="32"/>
          <w:szCs w:val="32"/>
        </w:rPr>
        <w:t>2、公共服务水平不断提高。</w:t>
      </w:r>
      <w:r>
        <w:rPr>
          <w:bCs/>
          <w:kern w:val="0"/>
          <w:sz w:val="32"/>
          <w:szCs w:val="32"/>
        </w:rPr>
        <w:t>成立南京外国语学校南部新城教育集团，开办明远小学。创成“江苏省学前教育普及普惠示范区”，全省首家市级孤独症儿童教育研究与指导中心顺利运作。完成南京市红十字医院改造，开展适龄妇女免费两癌检查1.9万人，在校适龄女生免费接种HPV疫苗1165人。大光路社区卫生服务中心创建省社区医院，建成省糖尿病并发症筛查工作站2家。主城规模最大的双龙足球体育公园建成投用。南京市中医院挂牌成立南京市体育医院，体卫融合呈现新亮点。成功举办第36届中国·秦淮云上灯会，全年开展文化惠民活动超1800场</w:t>
      </w:r>
      <w:r>
        <w:rPr>
          <w:rFonts w:eastAsia="方正楷体_GBK"/>
          <w:bCs/>
          <w:kern w:val="0"/>
          <w:sz w:val="32"/>
          <w:szCs w:val="32"/>
        </w:rPr>
        <w:t>。</w:t>
      </w:r>
    </w:p>
    <w:p w14:paraId="61BD98C3">
      <w:pPr>
        <w:jc w:val="center"/>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表九 公共事业进展情况</w:t>
      </w:r>
    </w:p>
    <w:tbl>
      <w:tblPr>
        <w:tblStyle w:val="12"/>
        <w:tblW w:w="8820" w:type="dxa"/>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643E23AE">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035EAB27">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主要领域</w:t>
            </w:r>
          </w:p>
        </w:tc>
        <w:tc>
          <w:tcPr>
            <w:tcW w:w="6742" w:type="dxa"/>
            <w:tcBorders>
              <w:top w:val="single" w:color="000000" w:sz="6" w:space="0"/>
              <w:bottom w:val="single" w:color="000000" w:sz="6" w:space="0"/>
            </w:tcBorders>
            <w:noWrap/>
            <w:vAlign w:val="center"/>
          </w:tcPr>
          <w:p w14:paraId="7AB80B7C">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主要进展</w:t>
            </w:r>
          </w:p>
        </w:tc>
      </w:tr>
      <w:tr w14:paraId="668FC5C6">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0936BFD8">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教育</w:t>
            </w:r>
          </w:p>
        </w:tc>
        <w:tc>
          <w:tcPr>
            <w:tcW w:w="6742" w:type="dxa"/>
            <w:tcBorders>
              <w:top w:val="single" w:color="000000" w:sz="6" w:space="0"/>
              <w:bottom w:val="single" w:color="000000" w:sz="6" w:space="0"/>
            </w:tcBorders>
            <w:noWrap/>
            <w:vAlign w:val="center"/>
          </w:tcPr>
          <w:p w14:paraId="65BA5E9A">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持续推进“双减”，游府西街小学案例入选省第一批“双减”工作典型案例，4所学校立项南京市“双减”工作重点实验项目</w:t>
            </w:r>
          </w:p>
          <w:p w14:paraId="6960661D">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实施钟英中学等19个校安工程</w:t>
            </w:r>
          </w:p>
          <w:p w14:paraId="68977B2B">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省市优质园幼儿占比97.16%，超过国标、达到省标、全市领先</w:t>
            </w:r>
          </w:p>
        </w:tc>
      </w:tr>
      <w:tr w14:paraId="6067058F">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5AFCE317">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医疗</w:t>
            </w:r>
          </w:p>
        </w:tc>
        <w:tc>
          <w:tcPr>
            <w:tcW w:w="6742" w:type="dxa"/>
            <w:tcBorders>
              <w:top w:val="single" w:color="000000" w:sz="6" w:space="0"/>
              <w:bottom w:val="single" w:color="000000" w:sz="6" w:space="0"/>
            </w:tcBorders>
            <w:noWrap/>
            <w:vAlign w:val="center"/>
          </w:tcPr>
          <w:p w14:paraId="3105F43F">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全面深化医药卫生体制改革，完成17家医疗机构限制类技术的备案工作</w:t>
            </w:r>
          </w:p>
          <w:p w14:paraId="27F8B110">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不断提高新生儿疾病筛查、诊治能力，加强质量管理和控制，全区产前筛查率达99%；新生儿疾病筛查率99.73%</w:t>
            </w:r>
          </w:p>
          <w:p w14:paraId="3DC79C0B">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87支家庭医生团队疫情期间为居民提供线上预约、线下服务1700余例</w:t>
            </w:r>
          </w:p>
        </w:tc>
      </w:tr>
      <w:tr w14:paraId="4B081F14">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0F086492">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文体</w:t>
            </w:r>
          </w:p>
        </w:tc>
        <w:tc>
          <w:tcPr>
            <w:tcW w:w="6742" w:type="dxa"/>
            <w:tcBorders>
              <w:top w:val="single" w:color="000000" w:sz="6" w:space="0"/>
              <w:bottom w:val="single" w:color="000000" w:sz="6" w:space="0"/>
            </w:tcBorders>
            <w:noWrap/>
            <w:vAlign w:val="center"/>
          </w:tcPr>
          <w:p w14:paraId="1B28AF5D">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深入新时代文明实践中心（所、站）、道德讲堂、企事业等阵地创新开展理论宣讲300余场</w:t>
            </w:r>
          </w:p>
          <w:p w14:paraId="66C419BB">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“弟子规学堂”被省全民阅读办认证为三类公益阅读推广活动</w:t>
            </w:r>
          </w:p>
          <w:p w14:paraId="7E253E86">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新增2个百姓健身房、3片灯光球场、3公里健身步道，更新55套室外健身器材</w:t>
            </w:r>
          </w:p>
          <w:p w14:paraId="4B346C22">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开展“你点我送”健身志愿服务，全年送出18场“科学健身大讲堂”、42场健身技能培训和4700人免费国民体质测试</w:t>
            </w:r>
          </w:p>
        </w:tc>
      </w:tr>
    </w:tbl>
    <w:p w14:paraId="745241AD">
      <w:pPr>
        <w:spacing w:line="560" w:lineRule="exact"/>
        <w:ind w:firstLine="640" w:firstLineChars="200"/>
        <w:outlineLvl w:val="1"/>
        <w:rPr>
          <w:rFonts w:ascii="Times New Roman" w:hAnsi="Times New Roman" w:eastAsia="方正黑体_GBK" w:cs="Times New Roman"/>
          <w:kern w:val="0"/>
          <w:sz w:val="32"/>
          <w:szCs w:val="32"/>
        </w:rPr>
      </w:pPr>
      <w:r>
        <w:rPr>
          <w:rFonts w:ascii="Times New Roman" w:hAnsi="Times New Roman" w:eastAsia="方正黑体_GBK" w:cs="Times New Roman"/>
          <w:kern w:val="0"/>
          <w:sz w:val="32"/>
          <w:szCs w:val="32"/>
        </w:rPr>
        <w:t>七、改革探索，治理能力现代化不断升级</w:t>
      </w:r>
    </w:p>
    <w:p w14:paraId="027577E6">
      <w:pPr>
        <w:pStyle w:val="2"/>
        <w:spacing w:line="520" w:lineRule="exact"/>
        <w:ind w:firstLine="640" w:firstLineChars="200"/>
        <w:rPr>
          <w:rFonts w:ascii="Times New Roman" w:hAnsi="Times New Roman" w:eastAsia="方正仿宋_GBK" w:cs="Times New Roman"/>
          <w:bCs/>
          <w:kern w:val="0"/>
          <w:sz w:val="32"/>
          <w:szCs w:val="32"/>
        </w:rPr>
      </w:pPr>
      <w:r>
        <w:rPr>
          <w:rFonts w:ascii="Times New Roman" w:hAnsi="Times New Roman" w:eastAsia="方正楷体_GBK" w:cs="Times New Roman"/>
          <w:bCs/>
          <w:kern w:val="0"/>
          <w:sz w:val="32"/>
          <w:szCs w:val="32"/>
        </w:rPr>
        <w:t>1、深化重点领域改革。</w:t>
      </w:r>
      <w:r>
        <w:rPr>
          <w:rFonts w:ascii="Times New Roman" w:hAnsi="Times New Roman" w:eastAsia="方正仿宋_GBK" w:cs="Times New Roman"/>
          <w:sz w:val="32"/>
          <w:szCs w:val="32"/>
        </w:rPr>
        <w:t>推进“一区一特色”城市更新产权制度改革，推动小西湖、八宝前街等已更新改造建筑确权登记。制定完善《进一步深化“两赋两强</w:t>
      </w:r>
      <w:r>
        <w:rPr>
          <w:rFonts w:ascii="Times New Roman" w:hAnsi="Times New Roman" w:eastAsia="方正仿宋_GBK" w:cs="Times New Roman"/>
          <w:bCs/>
          <w:kern w:val="0"/>
          <w:sz w:val="32"/>
          <w:szCs w:val="32"/>
        </w:rPr>
        <w:t>”街道集成改革实施方案》，做深做实综合管理执法和“屯兵街面”机制。基本完成国企改革三年行动105项改革任务，国企高质量发展新格局基本形成。加强数字政府建设，全市首批挂牌成立“南京市秦淮区城市数字治理中心”。</w:t>
      </w:r>
    </w:p>
    <w:p w14:paraId="54CCE73D">
      <w:pPr>
        <w:pStyle w:val="2"/>
        <w:spacing w:line="52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bCs/>
          <w:kern w:val="0"/>
          <w:sz w:val="32"/>
          <w:szCs w:val="32"/>
        </w:rPr>
        <w:t>2、建设法治型服务政府。</w:t>
      </w:r>
      <w:r>
        <w:rPr>
          <w:rFonts w:ascii="Times New Roman" w:hAnsi="Times New Roman" w:eastAsia="方正仿宋_GBK" w:cs="Times New Roman"/>
          <w:sz w:val="32"/>
          <w:szCs w:val="32"/>
        </w:rPr>
        <w:t>制定《秦淮区法治政府建设实施方案（2021-2025）》。开展各类主题法治宣传活动140余场，覆盖人群2.1万余人次。</w:t>
      </w:r>
      <w:r>
        <w:rPr>
          <w:rFonts w:ascii="Times New Roman" w:hAnsi="Times New Roman" w:eastAsia="方正仿宋_GBK" w:cs="Times New Roman"/>
          <w:kern w:val="0"/>
          <w:sz w:val="32"/>
          <w:szCs w:val="32"/>
        </w:rPr>
        <w:t>建立“互联网+劳动监察”执法模式，</w:t>
      </w:r>
      <w:r>
        <w:rPr>
          <w:rFonts w:ascii="Times New Roman" w:hAnsi="Times New Roman" w:eastAsia="方正仿宋_GBK" w:cs="Times New Roman"/>
          <w:sz w:val="32"/>
          <w:szCs w:val="32"/>
        </w:rPr>
        <w:t>受理劳动维权案件3745件，劳动保障监察举报投诉案件结案率100%，累计为4200余名劳动者追发待遇3700余万元。</w:t>
      </w:r>
    </w:p>
    <w:p w14:paraId="5864F446">
      <w:pPr>
        <w:pStyle w:val="2"/>
        <w:spacing w:line="520" w:lineRule="exact"/>
        <w:ind w:firstLine="640" w:firstLineChars="200"/>
        <w:rPr>
          <w:rFonts w:ascii="Times New Roman" w:hAnsi="Times New Roman" w:eastAsia="仿宋" w:cs="Times New Roman"/>
          <w:sz w:val="32"/>
          <w:szCs w:val="32"/>
        </w:rPr>
      </w:pPr>
      <w:r>
        <w:rPr>
          <w:rFonts w:ascii="Times New Roman" w:hAnsi="Times New Roman" w:eastAsia="方正楷体_GBK" w:cs="Times New Roman"/>
          <w:bCs/>
          <w:kern w:val="0"/>
          <w:sz w:val="32"/>
          <w:szCs w:val="32"/>
        </w:rPr>
        <w:t>3、维护区域和谐稳定。</w:t>
      </w:r>
      <w:r>
        <w:rPr>
          <w:rFonts w:ascii="Times New Roman" w:hAnsi="Times New Roman" w:eastAsia="方正仿宋_GBK" w:cs="Times New Roman"/>
          <w:sz w:val="32"/>
          <w:szCs w:val="32"/>
        </w:rPr>
        <w:t>成功化解“新大都广场矛盾纠纷”等6起重大矛盾风险。持续推进基层安全生产和消防安全一体化监管新模式探索，办理消防委托行政处罚736件。完成全区特种设备安全三年行动专项整治工作，全年未发生特种设备安全事故，无万台设备事故和亡人。办理12345工单超17.6万件，满意率达96%以上</w:t>
      </w:r>
      <w:r>
        <w:rPr>
          <w:rFonts w:ascii="Times New Roman" w:hAnsi="Times New Roman" w:eastAsia="方正仿宋_GBK" w:cs="Times New Roman"/>
          <w:bCs/>
          <w:sz w:val="32"/>
          <w:szCs w:val="32"/>
        </w:rPr>
        <w:t>。</w:t>
      </w:r>
    </w:p>
    <w:p w14:paraId="44135795">
      <w:pPr>
        <w:jc w:val="center"/>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表十</w:t>
      </w:r>
      <w:r>
        <w:rPr>
          <w:rFonts w:hint="eastAsia" w:ascii="Times New Roman" w:hAnsi="Times New Roman" w:eastAsia="方正仿宋_GBK" w:cs="Times New Roman"/>
          <w:b/>
          <w:bCs/>
          <w:kern w:val="0"/>
          <w:sz w:val="32"/>
          <w:szCs w:val="32"/>
        </w:rPr>
        <w:t xml:space="preserve"> </w:t>
      </w:r>
      <w:r>
        <w:rPr>
          <w:rFonts w:ascii="Times New Roman" w:hAnsi="Times New Roman" w:eastAsia="方正仿宋_GBK" w:cs="Times New Roman"/>
          <w:b/>
          <w:bCs/>
          <w:kern w:val="0"/>
          <w:sz w:val="32"/>
          <w:szCs w:val="32"/>
        </w:rPr>
        <w:t>基层治理进展情况</w:t>
      </w:r>
    </w:p>
    <w:tbl>
      <w:tblPr>
        <w:tblStyle w:val="12"/>
        <w:tblW w:w="0" w:type="auto"/>
        <w:jc w:val="center"/>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Layout w:type="fixed"/>
        <w:tblCellMar>
          <w:top w:w="0" w:type="dxa"/>
          <w:left w:w="108" w:type="dxa"/>
          <w:bottom w:w="0" w:type="dxa"/>
          <w:right w:w="108" w:type="dxa"/>
        </w:tblCellMar>
      </w:tblPr>
      <w:tblGrid>
        <w:gridCol w:w="2078"/>
        <w:gridCol w:w="6742"/>
      </w:tblGrid>
      <w:tr w14:paraId="69F107BD">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22CB0B92">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主要领域</w:t>
            </w:r>
          </w:p>
        </w:tc>
        <w:tc>
          <w:tcPr>
            <w:tcW w:w="6742" w:type="dxa"/>
            <w:tcBorders>
              <w:top w:val="single" w:color="000000" w:sz="6" w:space="0"/>
              <w:bottom w:val="single" w:color="000000" w:sz="6" w:space="0"/>
            </w:tcBorders>
            <w:noWrap/>
            <w:vAlign w:val="center"/>
          </w:tcPr>
          <w:p w14:paraId="4EE9B12D">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主要进展</w:t>
            </w:r>
          </w:p>
        </w:tc>
      </w:tr>
      <w:tr w14:paraId="7DAA0FEC">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3FE17F22">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法治政府</w:t>
            </w:r>
          </w:p>
        </w:tc>
        <w:tc>
          <w:tcPr>
            <w:tcW w:w="6742" w:type="dxa"/>
            <w:tcBorders>
              <w:top w:val="single" w:color="000000" w:sz="6" w:space="0"/>
              <w:bottom w:val="single" w:color="000000" w:sz="6" w:space="0"/>
            </w:tcBorders>
            <w:noWrap/>
            <w:vAlign w:val="center"/>
          </w:tcPr>
          <w:p w14:paraId="44B1958B">
            <w:pPr>
              <w:pStyle w:val="17"/>
              <w:rPr>
                <w:kern w:val="0"/>
              </w:rPr>
            </w:pPr>
            <w:r>
              <w:t>深入推进“谁执法谁普法”普法责任制的落实，普法工作开展情况纳入全区综合绩效考核及领导干部政绩考核</w:t>
            </w:r>
          </w:p>
          <w:p w14:paraId="0B088B74">
            <w:pPr>
              <w:pStyle w:val="17"/>
              <w:rPr>
                <w:kern w:val="0"/>
              </w:rPr>
            </w:pPr>
            <w:r>
              <w:rPr>
                <w:rFonts w:eastAsia="仿宋_GB2312"/>
              </w:rPr>
              <w:t>在郑和公园建成</w:t>
            </w:r>
            <w:r>
              <w:t>“南京秦淮总体国家安全观主题公园”，</w:t>
            </w:r>
            <w:r>
              <w:rPr>
                <w:rFonts w:eastAsia="仿宋_GB2312"/>
              </w:rPr>
              <w:t>建成全市首家总体国家安全观主题公园</w:t>
            </w:r>
          </w:p>
          <w:p w14:paraId="647FE199">
            <w:pPr>
              <w:pStyle w:val="17"/>
              <w:rPr>
                <w:kern w:val="0"/>
              </w:rPr>
            </w:pPr>
            <w:r>
              <w:t>全面推行行政执法“三项制度”，推动出台《街道案件质量监督工作实施办法》</w:t>
            </w:r>
          </w:p>
        </w:tc>
      </w:tr>
      <w:tr w14:paraId="0258EEFB">
        <w:tblPrEx>
          <w:tblBorders>
            <w:top w:val="single" w:color="000000" w:sz="12" w:space="0"/>
            <w:left w:val="none" w:color="auto" w:sz="0" w:space="0"/>
            <w:bottom w:val="single" w:color="000000" w:sz="6" w:space="0"/>
            <w:right w:val="none" w:color="auto" w:sz="0" w:space="0"/>
            <w:insideH w:val="none" w:color="auto" w:sz="0" w:space="0"/>
            <w:insideV w:val="single" w:color="000000" w:sz="6" w:space="0"/>
          </w:tblBorders>
          <w:tblCellMar>
            <w:top w:w="0" w:type="dxa"/>
            <w:left w:w="108" w:type="dxa"/>
            <w:bottom w:w="0" w:type="dxa"/>
            <w:right w:w="108" w:type="dxa"/>
          </w:tblCellMar>
        </w:tblPrEx>
        <w:trPr>
          <w:trHeight w:val="399" w:hRule="atLeast"/>
          <w:jc w:val="center"/>
        </w:trPr>
        <w:tc>
          <w:tcPr>
            <w:tcW w:w="2078" w:type="dxa"/>
            <w:tcBorders>
              <w:top w:val="single" w:color="000000" w:sz="6" w:space="0"/>
              <w:bottom w:val="single" w:color="000000" w:sz="6" w:space="0"/>
            </w:tcBorders>
            <w:noWrap/>
            <w:vAlign w:val="center"/>
          </w:tcPr>
          <w:p w14:paraId="6A51D2A8">
            <w:pPr>
              <w:spacing w:line="300" w:lineRule="exact"/>
              <w:jc w:val="center"/>
              <w:rPr>
                <w:rFonts w:ascii="Times New Roman" w:hAnsi="Times New Roman" w:eastAsia="方正仿宋_GBK" w:cs="Times New Roman"/>
                <w:b/>
                <w:iCs/>
                <w:kern w:val="0"/>
                <w:sz w:val="24"/>
              </w:rPr>
            </w:pPr>
            <w:r>
              <w:rPr>
                <w:rFonts w:ascii="Times New Roman" w:hAnsi="Times New Roman" w:eastAsia="方正仿宋_GBK" w:cs="Times New Roman"/>
                <w:b/>
                <w:iCs/>
                <w:kern w:val="0"/>
                <w:sz w:val="24"/>
              </w:rPr>
              <w:t>安全发展</w:t>
            </w:r>
          </w:p>
        </w:tc>
        <w:tc>
          <w:tcPr>
            <w:tcW w:w="6742" w:type="dxa"/>
            <w:tcBorders>
              <w:top w:val="single" w:color="000000" w:sz="6" w:space="0"/>
              <w:bottom w:val="single" w:color="000000" w:sz="6" w:space="0"/>
            </w:tcBorders>
            <w:noWrap/>
            <w:vAlign w:val="center"/>
          </w:tcPr>
          <w:p w14:paraId="5557C493">
            <w:pPr>
              <w:numPr>
                <w:ilvl w:val="0"/>
                <w:numId w:val="2"/>
              </w:numPr>
              <w:spacing w:line="300" w:lineRule="exact"/>
              <w:rPr>
                <w:rFonts w:ascii="Times New Roman" w:hAnsi="Times New Roman" w:eastAsia="仿宋_GB2312" w:cs="Times New Roman"/>
                <w:sz w:val="24"/>
              </w:rPr>
            </w:pPr>
            <w:r>
              <w:rPr>
                <w:rFonts w:ascii="Times New Roman" w:hAnsi="Times New Roman" w:eastAsia="仿宋_GB2312" w:cs="Times New Roman"/>
                <w:sz w:val="24"/>
              </w:rPr>
              <w:t>起草制定</w:t>
            </w:r>
            <w:r>
              <w:rPr>
                <w:rFonts w:ascii="Times New Roman" w:hAnsi="Times New Roman" w:eastAsia="仿宋_GB2312" w:cs="Times New Roman"/>
                <w:sz w:val="24"/>
                <w:lang w:val="zh-CN"/>
              </w:rPr>
              <w:t>《秦淮区关于深化提升安全生产专项整治三年行动的实施意见》、《2022年全区安全生产工作要点》</w:t>
            </w:r>
            <w:r>
              <w:rPr>
                <w:rFonts w:ascii="Times New Roman" w:hAnsi="Times New Roman" w:eastAsia="仿宋_GB2312" w:cs="Times New Roman"/>
                <w:sz w:val="24"/>
              </w:rPr>
              <w:t>等17个指导性文件</w:t>
            </w:r>
          </w:p>
          <w:p w14:paraId="70535990">
            <w:pPr>
              <w:numPr>
                <w:ilvl w:val="0"/>
                <w:numId w:val="2"/>
              </w:numPr>
              <w:spacing w:line="300" w:lineRule="exact"/>
              <w:rPr>
                <w:rFonts w:ascii="Times New Roman" w:hAnsi="Times New Roman" w:eastAsia="仿宋_GB2312" w:cs="Times New Roman"/>
                <w:sz w:val="24"/>
                <w:lang w:val="zh-CN"/>
              </w:rPr>
            </w:pPr>
            <w:r>
              <w:rPr>
                <w:rFonts w:ascii="Times New Roman" w:hAnsi="Times New Roman" w:eastAsia="仿宋_GB2312" w:cs="Times New Roman"/>
                <w:sz w:val="24"/>
                <w:lang w:val="zh-CN"/>
              </w:rPr>
              <w:t>累计开展食用农产品快检</w:t>
            </w:r>
            <w:r>
              <w:rPr>
                <w:rFonts w:ascii="Times New Roman" w:hAnsi="Times New Roman" w:eastAsia="仿宋_GB2312" w:cs="Times New Roman"/>
                <w:sz w:val="24"/>
              </w:rPr>
              <w:t>207117批次；</w:t>
            </w:r>
            <w:r>
              <w:rPr>
                <w:rFonts w:ascii="Times New Roman" w:hAnsi="Times New Roman" w:eastAsia="仿宋_GB2312" w:cs="Times New Roman"/>
                <w:sz w:val="24"/>
                <w:lang w:val="zh-CN"/>
              </w:rPr>
              <w:t>食品监督抽检</w:t>
            </w:r>
            <w:r>
              <w:rPr>
                <w:rFonts w:ascii="Times New Roman" w:hAnsi="Times New Roman" w:eastAsia="仿宋_GB2312" w:cs="Times New Roman"/>
                <w:sz w:val="24"/>
              </w:rPr>
              <w:t>4722</w:t>
            </w:r>
            <w:r>
              <w:rPr>
                <w:rFonts w:ascii="Times New Roman" w:hAnsi="Times New Roman" w:eastAsia="仿宋_GB2312" w:cs="Times New Roman"/>
                <w:sz w:val="24"/>
                <w:lang w:val="zh-CN"/>
              </w:rPr>
              <w:t>批次；区级食品快检中心完成食品快检</w:t>
            </w:r>
            <w:r>
              <w:rPr>
                <w:rFonts w:ascii="Times New Roman" w:hAnsi="Times New Roman" w:eastAsia="仿宋_GB2312" w:cs="Times New Roman"/>
                <w:sz w:val="24"/>
              </w:rPr>
              <w:t>6871</w:t>
            </w:r>
            <w:r>
              <w:rPr>
                <w:rFonts w:ascii="Times New Roman" w:hAnsi="Times New Roman" w:eastAsia="仿宋_GB2312" w:cs="Times New Roman"/>
                <w:sz w:val="24"/>
                <w:lang w:val="zh-CN"/>
              </w:rPr>
              <w:t>批次</w:t>
            </w:r>
          </w:p>
          <w:p w14:paraId="08BC39C1">
            <w:pPr>
              <w:numPr>
                <w:ilvl w:val="0"/>
                <w:numId w:val="2"/>
              </w:numPr>
              <w:spacing w:line="300" w:lineRule="exact"/>
              <w:rPr>
                <w:rFonts w:ascii="Times New Roman" w:hAnsi="Times New Roman" w:eastAsia="方正仿宋_GBK" w:cs="Times New Roman"/>
                <w:kern w:val="0"/>
                <w:sz w:val="24"/>
              </w:rPr>
            </w:pPr>
            <w:r>
              <w:rPr>
                <w:rFonts w:ascii="Times New Roman" w:hAnsi="Times New Roman" w:eastAsia="方正仿宋_GBK" w:cs="Times New Roman"/>
                <w:kern w:val="0"/>
                <w:sz w:val="24"/>
              </w:rPr>
              <w:t>完成30台老旧小区电梯安全评估，电梯保险覆盖率持续保持在97%以上</w:t>
            </w:r>
          </w:p>
        </w:tc>
      </w:tr>
    </w:tbl>
    <w:p w14:paraId="5D0A60E1">
      <w:pPr>
        <w:pStyle w:val="2"/>
        <w:spacing w:line="520" w:lineRule="exact"/>
        <w:ind w:firstLine="640" w:firstLineChars="200"/>
        <w:rPr>
          <w:rFonts w:ascii="Times New Roman" w:hAnsi="Times New Roman" w:eastAsia="方正仿宋_GBK" w:cs="Times New Roman"/>
          <w:bCs/>
          <w:sz w:val="32"/>
          <w:szCs w:val="32"/>
        </w:rPr>
        <w:sectPr>
          <w:footerReference r:id="rId4" w:type="default"/>
          <w:pgSz w:w="11906" w:h="16838"/>
          <w:pgMar w:top="1701" w:right="1587" w:bottom="1701" w:left="1587" w:header="851" w:footer="1304" w:gutter="0"/>
          <w:pgNumType w:fmt="numberInDash"/>
          <w:cols w:space="0" w:num="1"/>
          <w:docGrid w:type="lines" w:linePitch="312" w:charSpace="0"/>
        </w:sectPr>
      </w:pPr>
      <w:r>
        <w:rPr>
          <w:rFonts w:ascii="Times New Roman" w:hAnsi="Times New Roman" w:eastAsia="方正仿宋_GBK" w:cs="Times New Roman"/>
          <w:bCs/>
          <w:sz w:val="32"/>
          <w:szCs w:val="32"/>
        </w:rPr>
        <w:t>2022年我区经济社会发展总体平稳，面对疫情冲击、经济下行等复杂多变的国内外发展环境，各项事业发展取得新进步，部分工作走在主城甚至全市前列。与此同时，我们也要清醒地看到，目标执行中仍存在一些突出的问题与挑战：</w:t>
      </w:r>
      <w:r>
        <w:rPr>
          <w:rFonts w:ascii="Times New Roman" w:hAnsi="Times New Roman" w:eastAsia="方正仿宋_GBK" w:cs="Times New Roman"/>
          <w:b/>
          <w:sz w:val="32"/>
          <w:szCs w:val="32"/>
        </w:rPr>
        <w:t>一是产业转型需加快步伐。</w:t>
      </w:r>
      <w:r>
        <w:rPr>
          <w:rFonts w:ascii="Times New Roman" w:hAnsi="Times New Roman" w:eastAsia="方正仿宋_GBK" w:cs="Times New Roman"/>
          <w:sz w:val="32"/>
          <w:szCs w:val="32"/>
        </w:rPr>
        <w:t>工业、软件和信息服务业发展面临阶段性困难，</w:t>
      </w:r>
      <w:r>
        <w:rPr>
          <w:rFonts w:ascii="Times New Roman" w:hAnsi="Times New Roman" w:eastAsia="方正仿宋_GBK" w:cs="Times New Roman"/>
          <w:bCs/>
          <w:sz w:val="32"/>
          <w:szCs w:val="32"/>
        </w:rPr>
        <w:t>物联网等新兴产业尚处于发展初期。产业招商质效不高，缺乏优质项目支撑。</w:t>
      </w:r>
      <w:r>
        <w:rPr>
          <w:rFonts w:ascii="Times New Roman" w:hAnsi="Times New Roman" w:eastAsia="方正仿宋_GBK" w:cs="Times New Roman"/>
          <w:b/>
          <w:sz w:val="32"/>
          <w:szCs w:val="32"/>
        </w:rPr>
        <w:t>二是创新投入的价值转化率不高</w:t>
      </w:r>
      <w:r>
        <w:rPr>
          <w:rFonts w:ascii="Times New Roman" w:hAnsi="Times New Roman" w:eastAsia="方正仿宋_GBK" w:cs="Times New Roman"/>
          <w:bCs/>
          <w:sz w:val="32"/>
          <w:szCs w:val="32"/>
        </w:rPr>
        <w:t>。</w:t>
      </w:r>
      <w:r>
        <w:rPr>
          <w:rFonts w:ascii="Times New Roman" w:hAnsi="Times New Roman" w:eastAsia="方正仿宋_GBK" w:cs="Times New Roman"/>
          <w:sz w:val="32"/>
          <w:szCs w:val="32"/>
        </w:rPr>
        <w:t>全社会研发投入总体不足，产业集聚度不高，行业领军、重点龙头企业不多，可利用科创载体较少等问题凸显，科技创新整体经济贡献度较低。</w:t>
      </w:r>
      <w:r>
        <w:rPr>
          <w:rFonts w:ascii="Times New Roman" w:hAnsi="Times New Roman" w:eastAsia="方正仿宋_GBK" w:cs="Times New Roman"/>
          <w:b/>
          <w:sz w:val="32"/>
          <w:szCs w:val="32"/>
        </w:rPr>
        <w:t>三是民生保障高质量发展水平有待提升。</w:t>
      </w:r>
      <w:r>
        <w:rPr>
          <w:rFonts w:ascii="Times New Roman" w:hAnsi="Times New Roman" w:eastAsia="方正仿宋_GBK" w:cs="Times New Roman"/>
          <w:bCs/>
          <w:sz w:val="32"/>
          <w:szCs w:val="32"/>
        </w:rPr>
        <w:t>民生保障面广量大，社会保障、教育、医疗等民生刚性支出与区可用财力之间的矛盾日益严峻。南部新城教育、养老、卫生等配套建设还需加快推进，尽量满足即将入住群众需求。</w:t>
      </w:r>
    </w:p>
    <w:p w14:paraId="7F8CBEE4">
      <w:pPr>
        <w:spacing w:line="560" w:lineRule="exact"/>
        <w:jc w:val="center"/>
        <w:outlineLvl w:val="0"/>
        <w:rPr>
          <w:rFonts w:ascii="Times New Roman" w:hAnsi="Times New Roman" w:eastAsia="方正黑体_GBK" w:cs="Times New Roman"/>
          <w:kern w:val="0"/>
          <w:sz w:val="36"/>
          <w:szCs w:val="36"/>
        </w:rPr>
      </w:pPr>
      <w:r>
        <w:rPr>
          <w:rFonts w:ascii="Times New Roman" w:hAnsi="Times New Roman" w:eastAsia="方正黑体_GBK" w:cs="Times New Roman"/>
          <w:kern w:val="0"/>
          <w:sz w:val="36"/>
          <w:szCs w:val="36"/>
        </w:rPr>
        <w:t>2023年计划编制情况</w:t>
      </w:r>
    </w:p>
    <w:p w14:paraId="112A3FCA">
      <w:pPr>
        <w:pStyle w:val="9"/>
        <w:spacing w:line="520" w:lineRule="exact"/>
        <w:rPr>
          <w:rFonts w:ascii="Times New Roman" w:hAnsi="Times New Roman" w:cs="Times New Roman"/>
        </w:rPr>
      </w:pPr>
    </w:p>
    <w:p w14:paraId="3EDDCCC7">
      <w:pPr>
        <w:spacing w:line="52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2023年是落实党的二十大精神的开局之年， 是实施“十四五”规划中期评估的关键之年，科学编制好全区年度经济和社会发展目标，对于秦淮建设“特而精、最南京、高质量、现代化”中心城区意义重大。</w:t>
      </w:r>
    </w:p>
    <w:p w14:paraId="368B195A">
      <w:pPr>
        <w:spacing w:line="52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计划编制的</w:t>
      </w:r>
      <w:r>
        <w:rPr>
          <w:rFonts w:ascii="Times New Roman" w:hAnsi="Times New Roman" w:eastAsia="方正仿宋_GBK" w:cs="Times New Roman"/>
          <w:b/>
          <w:bCs/>
          <w:kern w:val="0"/>
          <w:sz w:val="32"/>
          <w:szCs w:val="32"/>
        </w:rPr>
        <w:t>基本思路</w:t>
      </w:r>
      <w:r>
        <w:rPr>
          <w:rFonts w:ascii="Times New Roman" w:hAnsi="Times New Roman" w:eastAsia="方正仿宋_GBK" w:cs="Times New Roman"/>
          <w:kern w:val="0"/>
          <w:sz w:val="32"/>
          <w:szCs w:val="32"/>
        </w:rPr>
        <w:t>：以习近平新时代中国特色社会主义思想为指导，全面贯彻党的二十大精神，</w:t>
      </w:r>
      <w:bookmarkStart w:id="1" w:name="_GoBack"/>
      <w:bookmarkEnd w:id="1"/>
      <w:r>
        <w:rPr>
          <w:rFonts w:hint="eastAsia" w:ascii="Times New Roman" w:hAnsi="Times New Roman" w:eastAsia="方正仿宋_GBK" w:cs="Times New Roman"/>
          <w:kern w:val="0"/>
          <w:sz w:val="32"/>
          <w:szCs w:val="32"/>
          <w:lang w:eastAsia="zh-CN"/>
        </w:rPr>
        <w:t>必须坚持人民至上、坚持自信自立、坚持守正创新、坚持问题导向、坚持系统观念、坚持胸怀天下</w:t>
      </w:r>
      <w:r>
        <w:rPr>
          <w:rFonts w:ascii="Times New Roman" w:hAnsi="Times New Roman" w:eastAsia="方正仿宋_GBK" w:cs="Times New Roman"/>
          <w:kern w:val="0"/>
          <w:sz w:val="32"/>
          <w:szCs w:val="32"/>
        </w:rPr>
        <w:t>，在党的领导下走高质量发展、全过程民主、全民共同富裕、物质文明和精神文明相协调、人与自然和谐共生的中国式现代化道路。统筹疫情防控和经济社会发展，统筹发展和安全，努力让“特而精、最南京”的底蕴更加彰显，成为充分体现南京特色、时代特征的重要窗口，让“高质量、现代化”的发展走在前列，打造人民满意的社会主义现代化典范城市标杆城区。</w:t>
      </w:r>
    </w:p>
    <w:p w14:paraId="73A0DBAB">
      <w:pPr>
        <w:spacing w:line="52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计划编制的</w:t>
      </w:r>
      <w:r>
        <w:rPr>
          <w:rFonts w:ascii="Times New Roman" w:hAnsi="Times New Roman" w:eastAsia="方正仿宋_GBK" w:cs="Times New Roman"/>
          <w:b/>
          <w:bCs/>
          <w:kern w:val="0"/>
          <w:sz w:val="32"/>
          <w:szCs w:val="32"/>
        </w:rPr>
        <w:t>原则</w:t>
      </w:r>
      <w:r>
        <w:rPr>
          <w:rFonts w:ascii="Times New Roman" w:hAnsi="Times New Roman" w:eastAsia="方正仿宋_GBK" w:cs="Times New Roman"/>
          <w:kern w:val="0"/>
          <w:sz w:val="32"/>
          <w:szCs w:val="32"/>
        </w:rPr>
        <w:t>：</w:t>
      </w:r>
    </w:p>
    <w:p w14:paraId="240F1662">
      <w:pPr>
        <w:spacing w:line="520" w:lineRule="exact"/>
        <w:ind w:firstLine="643" w:firstLineChars="200"/>
        <w:rPr>
          <w:rFonts w:ascii="Times New Roman" w:hAnsi="Times New Roman" w:eastAsia="方正仿宋_GBK" w:cs="Times New Roman"/>
          <w:kern w:val="0"/>
          <w:sz w:val="32"/>
          <w:szCs w:val="32"/>
        </w:rPr>
      </w:pPr>
      <w:r>
        <w:rPr>
          <w:rFonts w:ascii="Times New Roman" w:hAnsi="Times New Roman" w:eastAsia="方正仿宋_GBK" w:cs="Times New Roman"/>
          <w:b/>
          <w:bCs/>
          <w:kern w:val="0"/>
          <w:sz w:val="32"/>
          <w:szCs w:val="32"/>
        </w:rPr>
        <w:t>一是突出经济发展主线。</w:t>
      </w:r>
      <w:r>
        <w:rPr>
          <w:rFonts w:ascii="Times New Roman" w:hAnsi="Times New Roman" w:eastAsia="方正仿宋_GBK" w:cs="Times New Roman"/>
          <w:kern w:val="0"/>
          <w:sz w:val="32"/>
          <w:szCs w:val="32"/>
        </w:rPr>
        <w:t>深化经济发展一体统筹，进一步推动综合经济、财税组织、招商引资、项目建设、科技创新等重点工作围绕高质量目标协同并进。健全符合秦淮基础和特色的“4+4”现代产业体系，完善实体经济发展服务机制，推进主导产业数字化、智慧化、绿色化赋能，用强韧坚实的产业基础、持续提高的经济效益为社会事业发展提供保障。</w:t>
      </w:r>
    </w:p>
    <w:p w14:paraId="39F4FC60">
      <w:pPr>
        <w:spacing w:line="520" w:lineRule="exact"/>
        <w:ind w:firstLine="643" w:firstLineChars="200"/>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二是托牢社会民生底线。</w:t>
      </w:r>
      <w:r>
        <w:rPr>
          <w:rFonts w:ascii="Times New Roman" w:hAnsi="Times New Roman" w:eastAsia="方正仿宋_GBK" w:cs="Times New Roman"/>
          <w:sz w:val="32"/>
          <w:szCs w:val="32"/>
        </w:rPr>
        <w:t>统筹经济社会发展，聚焦就业创业、住房保障、教育医疗、“一老一小”、城市建管、生态环境、社会安全、困难帮扶等重点领域，做好普惠性、基础性、兜底性民生建设。雪中送炭，好事做实，持续解决急难愁盼问题，</w:t>
      </w:r>
      <w:r>
        <w:rPr>
          <w:rFonts w:ascii="Times New Roman" w:hAnsi="Times New Roman" w:eastAsia="方正仿宋_GBK" w:cs="Times New Roman"/>
          <w:kern w:val="0"/>
          <w:sz w:val="32"/>
          <w:szCs w:val="32"/>
        </w:rPr>
        <w:t>补齐民生短板弱项，</w:t>
      </w:r>
      <w:r>
        <w:rPr>
          <w:rFonts w:ascii="Times New Roman" w:hAnsi="Times New Roman" w:eastAsia="方正仿宋_GBK" w:cs="Times New Roman"/>
          <w:sz w:val="32"/>
          <w:szCs w:val="32"/>
        </w:rPr>
        <w:t>保持社会大局稳定</w:t>
      </w:r>
      <w:r>
        <w:rPr>
          <w:rFonts w:ascii="Times New Roman" w:hAnsi="Times New Roman" w:eastAsia="方正仿宋_GBK" w:cs="Times New Roman"/>
          <w:kern w:val="0"/>
          <w:sz w:val="32"/>
          <w:szCs w:val="32"/>
        </w:rPr>
        <w:t>，着力推动共同富裕</w:t>
      </w:r>
      <w:r>
        <w:rPr>
          <w:rFonts w:ascii="Times New Roman" w:hAnsi="Times New Roman" w:eastAsia="方正仿宋_GBK" w:cs="Times New Roman"/>
          <w:sz w:val="32"/>
          <w:szCs w:val="32"/>
        </w:rPr>
        <w:t>，让发展成果更多更公平地惠及秦淮百姓。</w:t>
      </w:r>
    </w:p>
    <w:p w14:paraId="1E29108A">
      <w:pPr>
        <w:spacing w:line="520" w:lineRule="exact"/>
        <w:ind w:firstLine="643" w:firstLineChars="200"/>
        <w:rPr>
          <w:rFonts w:ascii="Times New Roman" w:hAnsi="Times New Roman" w:eastAsia="方正仿宋_GBK" w:cs="Times New Roman"/>
          <w:b/>
          <w:bCs/>
          <w:kern w:val="0"/>
          <w:sz w:val="32"/>
          <w:szCs w:val="32"/>
        </w:rPr>
      </w:pPr>
      <w:r>
        <w:rPr>
          <w:rFonts w:ascii="Times New Roman" w:hAnsi="Times New Roman" w:eastAsia="方正仿宋_GBK" w:cs="Times New Roman"/>
          <w:b/>
          <w:bCs/>
          <w:kern w:val="0"/>
          <w:sz w:val="32"/>
          <w:szCs w:val="32"/>
        </w:rPr>
        <w:t>三是持续改革创新探索。</w:t>
      </w:r>
      <w:r>
        <w:rPr>
          <w:rFonts w:ascii="Times New Roman" w:hAnsi="Times New Roman" w:eastAsia="方正仿宋_GBK" w:cs="Times New Roman"/>
          <w:kern w:val="0"/>
          <w:sz w:val="32"/>
          <w:szCs w:val="32"/>
        </w:rPr>
        <w:t>在基层治理、城市更新、区城融合、国企市场化、数字政府建设等方面深化改革，持续探索，形成有利于整合各路资源、调动各方力量、推动高效落实的路径举措，持续</w:t>
      </w:r>
      <w:r>
        <w:rPr>
          <w:rFonts w:ascii="Times New Roman" w:hAnsi="Times New Roman" w:eastAsia="方正仿宋_GBK" w:cs="Times New Roman"/>
          <w:sz w:val="32"/>
          <w:szCs w:val="32"/>
        </w:rPr>
        <w:t>打造特大城市中心城区治理体系和治理能力现代化样板，做好城市更新多元模式创新示范。</w:t>
      </w:r>
    </w:p>
    <w:p w14:paraId="48CC271F">
      <w:pPr>
        <w:spacing w:line="520" w:lineRule="exact"/>
        <w:ind w:firstLine="640" w:firstLineChars="200"/>
        <w:rPr>
          <w:rFonts w:ascii="Times New Roman" w:hAnsi="Times New Roman" w:eastAsia="方正仿宋_GBK" w:cs="Times New Roman"/>
          <w:bCs/>
          <w:kern w:val="0"/>
          <w:sz w:val="32"/>
          <w:szCs w:val="32"/>
        </w:rPr>
      </w:pPr>
      <w:r>
        <w:rPr>
          <w:rFonts w:ascii="Times New Roman" w:hAnsi="Times New Roman" w:eastAsia="方正仿宋_GBK" w:cs="Times New Roman"/>
          <w:bCs/>
          <w:kern w:val="0"/>
          <w:sz w:val="32"/>
          <w:szCs w:val="32"/>
        </w:rPr>
        <w:t>根据上述基本思路和原则，</w:t>
      </w:r>
      <w:r>
        <w:rPr>
          <w:rFonts w:ascii="Times New Roman" w:hAnsi="Times New Roman" w:eastAsia="方正仿宋_GBK" w:cs="Times New Roman"/>
          <w:kern w:val="0"/>
          <w:sz w:val="32"/>
          <w:szCs w:val="32"/>
        </w:rPr>
        <w:t>2023年</w:t>
      </w:r>
      <w:r>
        <w:rPr>
          <w:rFonts w:ascii="Times New Roman" w:hAnsi="Times New Roman" w:eastAsia="方正仿宋_GBK" w:cs="Times New Roman"/>
          <w:bCs/>
          <w:kern w:val="0"/>
          <w:sz w:val="32"/>
          <w:szCs w:val="32"/>
        </w:rPr>
        <w:t>全区经济社会发展计划初步排定五类主要指标、六类重点任务、重大项目及非城建类政府投资计划安排。</w:t>
      </w:r>
    </w:p>
    <w:p w14:paraId="2664199C">
      <w:pPr>
        <w:spacing w:line="520" w:lineRule="exact"/>
        <w:ind w:firstLine="640" w:firstLineChars="200"/>
        <w:outlineLvl w:val="1"/>
        <w:rPr>
          <w:rFonts w:ascii="Times New Roman" w:hAnsi="Times New Roman" w:eastAsia="方正黑体_GBK" w:cs="Times New Roman"/>
          <w:sz w:val="32"/>
          <w:szCs w:val="32"/>
        </w:rPr>
      </w:pPr>
      <w:r>
        <w:rPr>
          <w:rFonts w:ascii="Times New Roman" w:hAnsi="Times New Roman" w:eastAsia="方正黑体_GBK" w:cs="Times New Roman"/>
          <w:sz w:val="32"/>
          <w:szCs w:val="32"/>
        </w:rPr>
        <w:t>一、主要指标</w:t>
      </w:r>
    </w:p>
    <w:p w14:paraId="76B4C010">
      <w:pPr>
        <w:widowControl/>
        <w:spacing w:line="520" w:lineRule="exact"/>
        <w:ind w:firstLine="640" w:firstLineChars="200"/>
        <w:rPr>
          <w:rFonts w:ascii="Times New Roman" w:hAnsi="Times New Roman" w:eastAsia="方正黑体_GBK" w:cs="Times New Roman"/>
          <w:kern w:val="0"/>
          <w:sz w:val="32"/>
          <w:szCs w:val="32"/>
        </w:rPr>
      </w:pPr>
      <w:r>
        <w:rPr>
          <w:rFonts w:ascii="Times New Roman" w:hAnsi="Times New Roman" w:eastAsia="宋体" w:cs="Times New Roman"/>
          <w:kern w:val="0"/>
          <w:sz w:val="32"/>
          <w:szCs w:val="32"/>
        </w:rPr>
        <w:t>——</w:t>
      </w:r>
      <w:r>
        <w:rPr>
          <w:rFonts w:ascii="Times New Roman" w:hAnsi="Times New Roman" w:eastAsia="方正楷体_GBK" w:cs="Times New Roman"/>
          <w:kern w:val="0"/>
          <w:sz w:val="32"/>
          <w:szCs w:val="32"/>
        </w:rPr>
        <w:t>经济发展</w:t>
      </w:r>
      <w:r>
        <w:rPr>
          <w:rFonts w:ascii="Times New Roman" w:hAnsi="Times New Roman" w:eastAsia="方正仿宋_GBK" w:cs="Times New Roman"/>
          <w:kern w:val="0"/>
          <w:sz w:val="32"/>
          <w:szCs w:val="32"/>
        </w:rPr>
        <w:t>。地区生产总值增长6.5%；一般公共预算收入增长8.5%；固定资产投资增长5%；社会消费品零售总额增长6%；外贸进出口总额增长2%；实际使用外资2.8亿美元。</w:t>
      </w:r>
    </w:p>
    <w:p w14:paraId="094ADD27">
      <w:pPr>
        <w:widowControl/>
        <w:spacing w:line="520" w:lineRule="exact"/>
        <w:ind w:firstLine="640" w:firstLineChars="200"/>
        <w:rPr>
          <w:rFonts w:ascii="Times New Roman" w:hAnsi="Times New Roman" w:eastAsia="方正仿宋_GBK" w:cs="Times New Roman"/>
          <w:kern w:val="0"/>
          <w:sz w:val="32"/>
          <w:szCs w:val="32"/>
        </w:rPr>
      </w:pPr>
      <w:r>
        <w:rPr>
          <w:rFonts w:ascii="Times New Roman" w:hAnsi="Times New Roman" w:eastAsia="方正楷体_GBK" w:cs="Times New Roman"/>
          <w:kern w:val="0"/>
          <w:sz w:val="32"/>
          <w:szCs w:val="32"/>
        </w:rPr>
        <w:t>——创新驱动。</w:t>
      </w:r>
      <w:r>
        <w:rPr>
          <w:rFonts w:ascii="Times New Roman" w:hAnsi="Times New Roman" w:eastAsia="方正仿宋_GBK" w:cs="Times New Roman"/>
          <w:kern w:val="0"/>
          <w:sz w:val="32"/>
          <w:szCs w:val="32"/>
        </w:rPr>
        <w:t xml:space="preserve">高技术产业投资占固定资产投资比重明显提升；高企总数达超550家；实现高新技术企业营业收入340亿元；培育创新型企业家6人；引进市级高层次创新创业人才12人；工业战略性新兴产业总产值占工业总产值比重超50%。 </w:t>
      </w:r>
    </w:p>
    <w:p w14:paraId="1731584C">
      <w:pPr>
        <w:widowControl/>
        <w:spacing w:line="520" w:lineRule="exact"/>
        <w:ind w:firstLine="640" w:firstLineChars="200"/>
        <w:rPr>
          <w:rFonts w:ascii="Times New Roman" w:hAnsi="Times New Roman" w:eastAsia="方正仿宋_GBK" w:cs="Times New Roman"/>
          <w:kern w:val="0"/>
          <w:sz w:val="32"/>
          <w:szCs w:val="32"/>
        </w:rPr>
      </w:pPr>
      <w:r>
        <w:rPr>
          <w:rFonts w:ascii="Times New Roman" w:hAnsi="Times New Roman" w:eastAsia="方正楷体_GBK" w:cs="Times New Roman"/>
          <w:kern w:val="0"/>
          <w:sz w:val="32"/>
          <w:szCs w:val="32"/>
        </w:rPr>
        <w:t>——民生保障。</w:t>
      </w:r>
      <w:r>
        <w:rPr>
          <w:rFonts w:ascii="Times New Roman" w:hAnsi="Times New Roman" w:eastAsia="方正仿宋_GBK" w:cs="Times New Roman"/>
          <w:kern w:val="0"/>
          <w:sz w:val="32"/>
          <w:szCs w:val="32"/>
        </w:rPr>
        <w:t>居民人均可支配收入与经济增长基本同步。城镇新增就业人数2.7万人；城镇</w:t>
      </w:r>
      <w:r>
        <w:rPr>
          <w:rFonts w:hint="eastAsia" w:ascii="Times New Roman" w:hAnsi="Times New Roman" w:eastAsia="方正仿宋_GBK" w:cs="Times New Roman"/>
          <w:kern w:val="0"/>
          <w:sz w:val="32"/>
          <w:szCs w:val="32"/>
        </w:rPr>
        <w:t>调查</w:t>
      </w:r>
      <w:r>
        <w:rPr>
          <w:rFonts w:ascii="Times New Roman" w:hAnsi="Times New Roman" w:eastAsia="方正仿宋_GBK" w:cs="Times New Roman"/>
          <w:kern w:val="0"/>
          <w:sz w:val="32"/>
          <w:szCs w:val="32"/>
        </w:rPr>
        <w:t>失业率控制在市定标准以内。社会文明程度测评指数位于主城第一方阵。</w:t>
      </w:r>
    </w:p>
    <w:p w14:paraId="40CA9F51">
      <w:pPr>
        <w:widowControl/>
        <w:spacing w:line="520" w:lineRule="exact"/>
        <w:ind w:firstLine="640" w:firstLineChars="200"/>
        <w:jc w:val="left"/>
        <w:rPr>
          <w:rFonts w:ascii="Times New Roman" w:hAnsi="Times New Roman" w:eastAsia="方正仿宋_GBK" w:cs="Times New Roman"/>
          <w:kern w:val="0"/>
          <w:sz w:val="32"/>
          <w:szCs w:val="32"/>
        </w:rPr>
      </w:pPr>
      <w:r>
        <w:rPr>
          <w:rFonts w:ascii="Times New Roman" w:hAnsi="Times New Roman" w:eastAsia="方正楷体_GBK" w:cs="Times New Roman"/>
          <w:kern w:val="0"/>
          <w:sz w:val="32"/>
          <w:szCs w:val="32"/>
        </w:rPr>
        <w:t>——生态环境。</w:t>
      </w:r>
      <w:r>
        <w:rPr>
          <w:rFonts w:ascii="Times New Roman" w:hAnsi="Times New Roman" w:eastAsia="方正仿宋_GBK" w:cs="Times New Roman"/>
          <w:kern w:val="0"/>
          <w:sz w:val="32"/>
          <w:szCs w:val="32"/>
        </w:rPr>
        <w:t>地表水国考断面水质达到或好于Ⅲ类水体比例，空气质量优良天数比例与PM2.5年均浓度达省定目标。</w:t>
      </w:r>
    </w:p>
    <w:p w14:paraId="3D82CFA7">
      <w:pPr>
        <w:widowControl/>
        <w:spacing w:line="520" w:lineRule="exact"/>
        <w:ind w:firstLine="640" w:firstLineChars="200"/>
        <w:rPr>
          <w:rFonts w:ascii="Times New Roman" w:hAnsi="Times New Roman" w:eastAsia="方正仿宋_GBK" w:cs="Times New Roman"/>
          <w:kern w:val="0"/>
          <w:sz w:val="32"/>
          <w:szCs w:val="32"/>
        </w:rPr>
      </w:pPr>
      <w:r>
        <w:rPr>
          <w:rFonts w:ascii="Times New Roman" w:hAnsi="Times New Roman" w:eastAsia="方正楷体_GBK" w:cs="Times New Roman"/>
          <w:kern w:val="0"/>
          <w:sz w:val="32"/>
          <w:szCs w:val="32"/>
        </w:rPr>
        <w:t>——安全稳定。</w:t>
      </w:r>
      <w:r>
        <w:rPr>
          <w:rFonts w:ascii="Times New Roman" w:hAnsi="Times New Roman" w:eastAsia="方正仿宋_GBK" w:cs="Times New Roman"/>
          <w:kern w:val="0"/>
          <w:sz w:val="32"/>
          <w:szCs w:val="32"/>
        </w:rPr>
        <w:t>安全生产形势持续稳定向好，主动防范化解重大风险，不发生较大以上生产事故。</w:t>
      </w:r>
    </w:p>
    <w:p w14:paraId="75A91D16">
      <w:pPr>
        <w:spacing w:line="520" w:lineRule="exact"/>
        <w:ind w:firstLine="640" w:firstLineChars="200"/>
        <w:outlineLvl w:val="1"/>
        <w:rPr>
          <w:rFonts w:ascii="Times New Roman" w:hAnsi="Times New Roman" w:eastAsia="方正黑体_GBK" w:cs="Times New Roman"/>
          <w:sz w:val="32"/>
          <w:szCs w:val="32"/>
        </w:rPr>
      </w:pPr>
      <w:r>
        <w:rPr>
          <w:rFonts w:ascii="Times New Roman" w:hAnsi="Times New Roman" w:eastAsia="方正黑体_GBK" w:cs="Times New Roman"/>
          <w:sz w:val="32"/>
          <w:szCs w:val="32"/>
        </w:rPr>
        <w:t>二、重点任务</w:t>
      </w:r>
    </w:p>
    <w:p w14:paraId="40545A3D">
      <w:pPr>
        <w:widowControl/>
        <w:spacing w:line="520" w:lineRule="exact"/>
        <w:ind w:firstLine="640" w:firstLineChars="200"/>
        <w:outlineLvl w:val="2"/>
        <w:rPr>
          <w:rFonts w:ascii="Times New Roman" w:hAnsi="Times New Roman" w:eastAsia="方正楷体_GBK" w:cs="Times New Roman"/>
          <w:sz w:val="32"/>
          <w:szCs w:val="32"/>
        </w:rPr>
      </w:pPr>
      <w:r>
        <w:rPr>
          <w:rFonts w:ascii="Times New Roman" w:hAnsi="Times New Roman" w:eastAsia="方正楷体_GBK" w:cs="Times New Roman"/>
          <w:sz w:val="32"/>
          <w:szCs w:val="32"/>
        </w:rPr>
        <w:t>（一）突出经济统筹，提升发展质效</w:t>
      </w:r>
    </w:p>
    <w:p w14:paraId="43885359">
      <w:pPr>
        <w:widowControl/>
        <w:spacing w:line="52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出台</w:t>
      </w:r>
      <w:r>
        <w:rPr>
          <w:rFonts w:ascii="Times New Roman" w:hAnsi="Times New Roman" w:eastAsia="方正仿宋_GBK" w:cs="Times New Roman"/>
          <w:sz w:val="32"/>
          <w:szCs w:val="32"/>
        </w:rPr>
        <w:t>经济发展</w:t>
      </w:r>
      <w:r>
        <w:rPr>
          <w:rFonts w:hint="eastAsia" w:ascii="Times New Roman" w:hAnsi="Times New Roman" w:eastAsia="方正仿宋_GBK" w:cs="Times New Roman"/>
          <w:sz w:val="32"/>
          <w:szCs w:val="32"/>
        </w:rPr>
        <w:t>加速</w:t>
      </w:r>
      <w:r>
        <w:rPr>
          <w:rFonts w:ascii="Times New Roman" w:hAnsi="Times New Roman" w:eastAsia="方正仿宋_GBK" w:cs="Times New Roman"/>
          <w:sz w:val="32"/>
          <w:szCs w:val="32"/>
        </w:rPr>
        <w:t>提质</w:t>
      </w:r>
      <w:r>
        <w:rPr>
          <w:rFonts w:hint="eastAsia" w:ascii="Times New Roman" w:hAnsi="Times New Roman" w:eastAsia="方正仿宋_GBK" w:cs="Times New Roman"/>
          <w:sz w:val="32"/>
          <w:szCs w:val="32"/>
        </w:rPr>
        <w:t>实施</w:t>
      </w:r>
      <w:r>
        <w:rPr>
          <w:rFonts w:ascii="Times New Roman" w:hAnsi="Times New Roman" w:eastAsia="方正仿宋_GBK" w:cs="Times New Roman"/>
          <w:sz w:val="32"/>
          <w:szCs w:val="32"/>
        </w:rPr>
        <w:t>方案，筹建实体化运作的企业服务中心，提升产业项目、招商引资、楼园载体产出成效，促进产业集聚度、经济贡献度“双”提升。推动新华社等开工，加快推进西五华里等休闲文化旅游街区等项目建设，金陵中环B地块开业，163万平方米住宅项目</w:t>
      </w:r>
      <w:r>
        <w:rPr>
          <w:rFonts w:hint="eastAsia" w:ascii="Times New Roman" w:hAnsi="Times New Roman" w:eastAsia="方正仿宋_GBK" w:cs="Times New Roman"/>
          <w:sz w:val="32"/>
          <w:szCs w:val="32"/>
        </w:rPr>
        <w:t>基本完工</w:t>
      </w:r>
      <w:r>
        <w:rPr>
          <w:rFonts w:ascii="Times New Roman" w:hAnsi="Times New Roman" w:eastAsia="方正仿宋_GBK" w:cs="Times New Roman"/>
          <w:sz w:val="32"/>
          <w:szCs w:val="32"/>
        </w:rPr>
        <w:t>。紧盯头部企业和标杆项目引进，深化区城一体招商，发挥产业基金“招投联动”作用，新增总部类企业超20家，实际利用内资100亿元，签约项目投资总额576亿元。推进分散产权商务载体整合，提升存量楼园载体价值。推进新工秦淮硅巷柳树湾数创科技园等10个楼宇（园区）品质提升，新增税收亿元楼宇2栋。重点楼宇（园区）坪效稳步提升。</w:t>
      </w:r>
    </w:p>
    <w:p w14:paraId="78D408BF">
      <w:pPr>
        <w:widowControl/>
        <w:spacing w:line="520" w:lineRule="exact"/>
        <w:ind w:firstLine="640" w:firstLineChars="200"/>
        <w:outlineLvl w:val="2"/>
        <w:rPr>
          <w:rFonts w:ascii="Times New Roman" w:hAnsi="Times New Roman" w:eastAsia="方正楷体_GBK" w:cs="Times New Roman"/>
          <w:sz w:val="32"/>
          <w:szCs w:val="32"/>
        </w:rPr>
      </w:pPr>
      <w:r>
        <w:rPr>
          <w:rFonts w:ascii="Times New Roman" w:hAnsi="Times New Roman" w:eastAsia="方正楷体_GBK" w:cs="Times New Roman"/>
          <w:sz w:val="32"/>
          <w:szCs w:val="32"/>
        </w:rPr>
        <w:t>（二）聚焦特色产业，持续做优做强</w:t>
      </w:r>
    </w:p>
    <w:p w14:paraId="07D31F37">
      <w:pPr>
        <w:widowControl/>
        <w:spacing w:line="52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深入打造“4+4”</w:t>
      </w:r>
      <w:r>
        <w:rPr>
          <w:rStyle w:val="16"/>
          <w:rFonts w:ascii="Times New Roman" w:hAnsi="Times New Roman" w:eastAsia="方正仿宋_GBK" w:cs="Times New Roman"/>
          <w:sz w:val="32"/>
          <w:szCs w:val="32"/>
        </w:rPr>
        <w:footnoteReference w:id="3"/>
      </w:r>
      <w:r>
        <w:rPr>
          <w:rFonts w:ascii="Times New Roman" w:hAnsi="Times New Roman" w:eastAsia="方正仿宋_GBK" w:cs="Times New Roman"/>
          <w:sz w:val="32"/>
          <w:szCs w:val="32"/>
        </w:rPr>
        <w:t>特色产业集群，为传统支柱产业添赋新能，以数字经济引领新兴产业转型提速。深化国际消费中心城市核心区建设，推进新街口商圈环境品质提升。新增销售额过亿商贸企业20家，限上贸易额增长5%，争创省级服务贸易示范区。放大“夜享秦淮”品牌影响力，秦淮特色文化产业园创成国家级文化产业示范园区。加快推进文旅产业深度融合，文化产业增加值占GDP比重达9.8%。新增各类金融机构15家，消费金融贷款规模达300亿元。发挥政府引导基金牵引作用，吸引高成长性产业项目、股权证券投资基金等落地，新增上市企业2家。推进车联网产业先导区二期建设，软件和信息服务业收入突破500亿元。放大数字产业联盟集聚效应，争创数字贸易创新发展先导区。规上工业企业“智改数转”覆盖率达70%，都市工业产值规模达265亿元。</w:t>
      </w:r>
    </w:p>
    <w:p w14:paraId="4AF9A0AC">
      <w:pPr>
        <w:widowControl/>
        <w:spacing w:line="520" w:lineRule="exact"/>
        <w:ind w:firstLine="640" w:firstLineChars="200"/>
        <w:outlineLvl w:val="2"/>
        <w:rPr>
          <w:rFonts w:ascii="Times New Roman" w:hAnsi="Times New Roman" w:eastAsia="方正楷体_GBK" w:cs="Times New Roman"/>
          <w:sz w:val="32"/>
          <w:szCs w:val="32"/>
        </w:rPr>
      </w:pPr>
      <w:r>
        <w:rPr>
          <w:rFonts w:ascii="Times New Roman" w:hAnsi="Times New Roman" w:eastAsia="方正楷体_GBK" w:cs="Times New Roman"/>
          <w:sz w:val="32"/>
          <w:szCs w:val="32"/>
        </w:rPr>
        <w:t>（三）强化创新驱动，积蓄发展动能</w:t>
      </w:r>
    </w:p>
    <w:p w14:paraId="16D62C8F">
      <w:pPr>
        <w:widowControl/>
        <w:spacing w:line="52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深度融入全市引领性国家创新型城市建设大局，促进“巷港湾园”融合发展，稳固白下高新全省一流园区地位，推动秦淮硅巷质效再提升，打造产学研融通创新高地。加快推进至美科技广场等科创载体建设，打造门西数字生活街区等一批创新产业地标，新增硅巷载体10万平方米。推进全区科创载体一体化管理，科创载体孵化科技型中小企业突破400家。新认定培育独角兽、瞪羚企业15家，引进培育省级以上专精特新“小巨人”企业3家。新增市级以上工程技术研究中心、企业技术中心、工程研究中心5家。推进国家知识产权强区建设，有效发明专利拥有量达1.18万件。建设区域博士后科研工作站联合体“一库一中心” </w:t>
      </w:r>
      <w:r>
        <w:rPr>
          <w:rStyle w:val="16"/>
          <w:rFonts w:ascii="Times New Roman" w:hAnsi="Times New Roman" w:eastAsia="方正仿宋_GBK" w:cs="Times New Roman"/>
          <w:sz w:val="32"/>
          <w:szCs w:val="32"/>
        </w:rPr>
        <w:footnoteReference w:id="4"/>
      </w:r>
      <w:r>
        <w:rPr>
          <w:rFonts w:ascii="Times New Roman" w:hAnsi="Times New Roman" w:eastAsia="方正仿宋_GBK" w:cs="Times New Roman"/>
          <w:sz w:val="32"/>
          <w:szCs w:val="32"/>
        </w:rPr>
        <w:t>，拓宽海外引才渠道。深化与驻区高校院所合作，搭建政产学研金合作平台，编制赋权成果清单，支持科技成果“先确权、后转化”创新实践。</w:t>
      </w:r>
    </w:p>
    <w:p w14:paraId="69B1E856">
      <w:pPr>
        <w:widowControl/>
        <w:spacing w:line="520" w:lineRule="exact"/>
        <w:ind w:firstLine="640" w:firstLineChars="200"/>
        <w:outlineLvl w:val="2"/>
        <w:rPr>
          <w:rFonts w:ascii="Times New Roman" w:hAnsi="Times New Roman" w:eastAsia="方正楷体_GBK" w:cs="Times New Roman"/>
          <w:sz w:val="32"/>
          <w:szCs w:val="32"/>
        </w:rPr>
      </w:pPr>
      <w:r>
        <w:rPr>
          <w:rFonts w:ascii="Times New Roman" w:hAnsi="Times New Roman" w:eastAsia="方正楷体_GBK" w:cs="Times New Roman"/>
          <w:sz w:val="32"/>
          <w:szCs w:val="32"/>
        </w:rPr>
        <w:t>（四）坚持精细建管，打造宜居环境</w:t>
      </w:r>
    </w:p>
    <w:p w14:paraId="2E71D75D">
      <w:pPr>
        <w:widowControl/>
        <w:spacing w:line="52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统筹新城老城基础设施建设，强化建管并举，提升精细化水平，努力构建功能完备、生态宜居、交通便捷的高品质生活城区。完成南部新城社区公共设施规划，推进国际路等社区综合服务设施，冶修一路等道路建设。完成机场跑道公园及地下空间方案设计，推进地下空间首期开工建设。推进石榴新村A地块、荷花塘历史文化街区管廊实验段和试点院落建设，启动小松涛巷、小西湖花灯厂以南等地块更新改造，复兴巷5号部分完工。实施仙鹤里等18个老旧小区改造，旭光里2号等17幢危房维修加固消险。持续提升全科执法、“屯兵街面”、“红色物业”等基层治理水平，推进老旧小区物业高质量全覆盖。出新改造龙苑垃圾中转站，提高垃圾资源化利用率。推进星瀚路等社会公共停车场建设，新增泊位2100个。推进征收安置</w:t>
      </w:r>
      <w:r>
        <w:rPr>
          <w:rStyle w:val="16"/>
          <w:rFonts w:ascii="Times New Roman" w:hAnsi="Times New Roman" w:eastAsia="方正仿宋_GBK" w:cs="Times New Roman"/>
          <w:sz w:val="32"/>
          <w:szCs w:val="32"/>
        </w:rPr>
        <w:footnoteReference w:id="5"/>
      </w:r>
      <w:r>
        <w:rPr>
          <w:rFonts w:ascii="Times New Roman" w:hAnsi="Times New Roman" w:eastAsia="方正仿宋_GBK" w:cs="Times New Roman"/>
          <w:sz w:val="32"/>
          <w:szCs w:val="32"/>
        </w:rPr>
        <w:t>，实施棚户区和危旧房改造，推进共有产权房建设，</w:t>
      </w:r>
      <w:r>
        <w:rPr>
          <w:rFonts w:hint="eastAsia" w:ascii="Times New Roman" w:hAnsi="Times New Roman" w:eastAsia="方正仿宋_GBK" w:cs="Times New Roman"/>
          <w:sz w:val="32"/>
          <w:szCs w:val="32"/>
        </w:rPr>
        <w:t>建成</w:t>
      </w:r>
      <w:r>
        <w:rPr>
          <w:rFonts w:ascii="Times New Roman" w:hAnsi="Times New Roman" w:eastAsia="方正仿宋_GBK" w:cs="Times New Roman"/>
          <w:sz w:val="32"/>
          <w:szCs w:val="32"/>
        </w:rPr>
        <w:t>保障房68万平方米。实施红花河等生态岸线、观门口等积淹水片区整治，推动内秦淮河东段22个片区雨污水管网清疏修缮建设，实施泵站改造、道路建设和环境综合整治，建设童卫路、鑫运路2处口袋公园。</w:t>
      </w:r>
    </w:p>
    <w:p w14:paraId="50402F2F">
      <w:pPr>
        <w:widowControl/>
        <w:spacing w:line="520" w:lineRule="exact"/>
        <w:ind w:firstLine="640" w:firstLineChars="200"/>
        <w:outlineLvl w:val="2"/>
        <w:rPr>
          <w:rFonts w:ascii="Times New Roman" w:hAnsi="Times New Roman" w:eastAsia="方正楷体_GBK" w:cs="Times New Roman"/>
          <w:sz w:val="32"/>
          <w:szCs w:val="32"/>
        </w:rPr>
      </w:pPr>
      <w:r>
        <w:rPr>
          <w:rFonts w:ascii="Times New Roman" w:hAnsi="Times New Roman" w:eastAsia="方正楷体_GBK" w:cs="Times New Roman"/>
          <w:sz w:val="32"/>
          <w:szCs w:val="32"/>
        </w:rPr>
        <w:t>（五）着力民生改善，提高幸福指数</w:t>
      </w:r>
    </w:p>
    <w:p w14:paraId="60A22D5D">
      <w:pPr>
        <w:widowControl/>
        <w:spacing w:line="52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坚持民生导向，继续加强基础性、普惠性、兜底性民生保障建设。落实就业优先战略，加大创业带动就业支持力度，新增大学生就业参保6.85万人。补贴性职业技能培训人数9000人次，确保有就业愿望的困难人员100%就业。持续增加教育供给，实施南航附属高中等22个老城老校更新改造，推进富华路等新校建设，深化与南外、南师附中的战略合作，争创国家级“学前教育普及普惠示范区”。加强医疗卫生应急处置能力和专业人才储备建设，启动双塘街道社区卫生服务中心规划，常态化保障居民生命健康安全。提升为老服务水平，建成12个街道养老综合服务中心，新增300张机构养老床位。交付观泓雅苑共有产权房2729套，杨庄北侧保障房主体完工。开展群众文化活动1800场，推进省级科普示范区创建。推进社会救助体系建设，为3354户低保家庭、2570余名困难残疾人、292名困境儿童做好各类救助保障工作。加强保供稳价工作，减轻物价上涨对困难群体基本生活影响。</w:t>
      </w:r>
    </w:p>
    <w:p w14:paraId="111F7271">
      <w:pPr>
        <w:widowControl/>
        <w:spacing w:line="520" w:lineRule="exact"/>
        <w:ind w:firstLine="640" w:firstLineChars="200"/>
        <w:outlineLvl w:val="2"/>
        <w:rPr>
          <w:rFonts w:ascii="Times New Roman" w:hAnsi="Times New Roman" w:eastAsia="方正楷体_GBK" w:cs="Times New Roman"/>
          <w:sz w:val="32"/>
          <w:szCs w:val="32"/>
        </w:rPr>
      </w:pPr>
      <w:r>
        <w:rPr>
          <w:rFonts w:ascii="Times New Roman" w:hAnsi="Times New Roman" w:eastAsia="方正楷体_GBK" w:cs="Times New Roman"/>
          <w:sz w:val="32"/>
          <w:szCs w:val="32"/>
        </w:rPr>
        <w:t>（六）深化改革创新，完善治理能力</w:t>
      </w:r>
    </w:p>
    <w:p w14:paraId="06C050F8">
      <w:pPr>
        <w:widowControl/>
        <w:spacing w:line="52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以改革创新的内生动力，持续推动基层治理体系和治理能力现代化建设，不断夯实政府治理的基层基础。建立政府项目支出和预算资金使用绩效管理机制，加强政府债务全生命周期动态跟踪监管。实施国企投资负面清单管理，通过市场化转型及整合、撤并等方式实现融资平台公司数量压降、债务消减、成本压减、效益提升。提升基层治理改革效能，纵深推进综合行政执法改革。完善“一网统管”平台功能，搭建“四标四实”</w:t>
      </w:r>
      <w:r>
        <w:rPr>
          <w:rStyle w:val="16"/>
          <w:rFonts w:ascii="Times New Roman" w:hAnsi="Times New Roman" w:eastAsia="方正仿宋_GBK" w:cs="Times New Roman"/>
          <w:sz w:val="32"/>
          <w:szCs w:val="32"/>
        </w:rPr>
        <w:footnoteReference w:id="6"/>
      </w:r>
      <w:r>
        <w:rPr>
          <w:rFonts w:ascii="Times New Roman" w:hAnsi="Times New Roman" w:eastAsia="方正仿宋_GBK" w:cs="Times New Roman"/>
          <w:sz w:val="32"/>
          <w:szCs w:val="32"/>
        </w:rPr>
        <w:t>数据中台、“三合一”场所监管场景、增加“随手拍”等功能模块，提升政务协同工作效率和城市运行智能化水平。搭建政企联动、企企互动等供需对接平台，进一步打通企业发展堵点、痛点，打造更优营商环境。推进“证照分离”改革，施行证明事项告知承诺制，推动包容审慎监管、柔性执法。12345政务服务便民热线问题解决率超80%，群众满意度超90%。加强金融、房地产等领域风险防范，强化食品药品安全监管，万台特种设备事故率、死亡率≤0.07，确保生产安全事故起数、死亡人数“双下降”。网格化治理达标率进入主城第一方阵。</w:t>
      </w:r>
    </w:p>
    <w:p w14:paraId="59ED1EAD">
      <w:pPr>
        <w:spacing w:line="520" w:lineRule="exact"/>
        <w:ind w:firstLine="640" w:firstLineChars="200"/>
        <w:outlineLvl w:val="1"/>
        <w:rPr>
          <w:rFonts w:ascii="Times New Roman" w:hAnsi="Times New Roman" w:eastAsia="方正仿宋_GBK" w:cs="Times New Roman"/>
          <w:kern w:val="0"/>
          <w:sz w:val="32"/>
          <w:szCs w:val="32"/>
        </w:rPr>
      </w:pPr>
      <w:r>
        <w:rPr>
          <w:rFonts w:ascii="Times New Roman" w:hAnsi="Times New Roman" w:eastAsia="方正黑体_GBK" w:cs="Times New Roman"/>
          <w:kern w:val="0"/>
          <w:sz w:val="32"/>
          <w:szCs w:val="32"/>
        </w:rPr>
        <w:t>三、项目投资</w:t>
      </w:r>
    </w:p>
    <w:p w14:paraId="79C32D96">
      <w:pPr>
        <w:spacing w:line="52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梳理编排重大项目130个，预计总投资约2435.8亿元，2023年度计划投资278亿元。其中新开工项目19个，在建项目67个，前期项目44个。梳理编排非城建类政府投资计划项目15个，预计总投资10335.58万元。</w:t>
      </w:r>
    </w:p>
    <w:p w14:paraId="0A18969A">
      <w:pPr>
        <w:pStyle w:val="9"/>
        <w:spacing w:line="520" w:lineRule="exact"/>
        <w:rPr>
          <w:rFonts w:ascii="Times New Roman" w:hAnsi="Times New Roman" w:eastAsia="方正仿宋_GBK" w:cs="Times New Roman"/>
          <w:kern w:val="0"/>
          <w:sz w:val="32"/>
          <w:szCs w:val="32"/>
        </w:rPr>
      </w:pPr>
    </w:p>
    <w:p w14:paraId="33C86468">
      <w:pPr>
        <w:pStyle w:val="9"/>
        <w:spacing w:line="520" w:lineRule="exact"/>
        <w:rPr>
          <w:rFonts w:ascii="Times New Roman" w:hAnsi="Times New Roman" w:eastAsia="方正仿宋_GBK" w:cs="Times New Roman"/>
          <w:kern w:val="0"/>
          <w:sz w:val="32"/>
          <w:szCs w:val="32"/>
        </w:rPr>
      </w:pPr>
    </w:p>
    <w:p w14:paraId="7BC97B46">
      <w:pPr>
        <w:pStyle w:val="9"/>
        <w:spacing w:line="52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附件：1、秦淮区2023年度国民经济和社会发展计划</w:t>
      </w:r>
    </w:p>
    <w:p w14:paraId="12098A27">
      <w:pPr>
        <w:pStyle w:val="9"/>
        <w:spacing w:line="520" w:lineRule="exac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 xml:space="preserve">     </w:t>
      </w:r>
      <w:r>
        <w:rPr>
          <w:rFonts w:hint="eastAsia" w:ascii="Times New Roman" w:hAnsi="Times New Roman" w:eastAsia="方正仿宋_GBK" w:cs="Times New Roman"/>
          <w:kern w:val="0"/>
          <w:sz w:val="32"/>
          <w:szCs w:val="32"/>
        </w:rPr>
        <w:t xml:space="preserve">  </w:t>
      </w:r>
      <w:r>
        <w:rPr>
          <w:rFonts w:ascii="Times New Roman" w:hAnsi="Times New Roman" w:eastAsia="方正仿宋_GBK" w:cs="Times New Roman"/>
          <w:kern w:val="0"/>
          <w:sz w:val="32"/>
          <w:szCs w:val="32"/>
        </w:rPr>
        <w:t xml:space="preserve"> </w:t>
      </w:r>
      <w:r>
        <w:rPr>
          <w:rFonts w:hint="eastAsia" w:ascii="Times New Roman" w:hAnsi="Times New Roman" w:eastAsia="方正仿宋_GBK" w:cs="Times New Roman"/>
          <w:kern w:val="0"/>
          <w:sz w:val="32"/>
          <w:szCs w:val="32"/>
        </w:rPr>
        <w:t xml:space="preserve">  </w:t>
      </w:r>
      <w:r>
        <w:rPr>
          <w:rFonts w:ascii="Times New Roman" w:hAnsi="Times New Roman" w:eastAsia="方正仿宋_GBK" w:cs="Times New Roman"/>
          <w:kern w:val="0"/>
          <w:sz w:val="32"/>
          <w:szCs w:val="32"/>
        </w:rPr>
        <w:t>2、秦淮区2023年度重大项目一览表</w:t>
      </w:r>
    </w:p>
    <w:p w14:paraId="604370AC">
      <w:pPr>
        <w:pStyle w:val="9"/>
        <w:spacing w:line="520" w:lineRule="exac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 xml:space="preserve">      </w:t>
      </w:r>
      <w:r>
        <w:rPr>
          <w:rFonts w:hint="eastAsia" w:ascii="Times New Roman" w:hAnsi="Times New Roman" w:eastAsia="方正仿宋_GBK" w:cs="Times New Roman"/>
          <w:kern w:val="0"/>
          <w:sz w:val="32"/>
          <w:szCs w:val="32"/>
        </w:rPr>
        <w:t xml:space="preserve">    </w:t>
      </w:r>
      <w:r>
        <w:rPr>
          <w:rFonts w:ascii="Times New Roman" w:hAnsi="Times New Roman" w:eastAsia="方正仿宋_GBK" w:cs="Times New Roman"/>
          <w:kern w:val="0"/>
          <w:sz w:val="32"/>
          <w:szCs w:val="32"/>
        </w:rPr>
        <w:t>3、秦淮区2023年度政府投资计划表（非城建类）</w:t>
      </w:r>
    </w:p>
    <w:p w14:paraId="26FCCEBB">
      <w:pPr>
        <w:pStyle w:val="9"/>
        <w:spacing w:line="560" w:lineRule="exact"/>
        <w:rPr>
          <w:rFonts w:ascii="Times New Roman" w:hAnsi="Times New Roman" w:eastAsia="方正仿宋_GBK" w:cs="Times New Roman"/>
          <w:kern w:val="0"/>
          <w:sz w:val="32"/>
          <w:szCs w:val="32"/>
        </w:rPr>
      </w:pPr>
      <w:r>
        <w:rPr>
          <w:rFonts w:ascii="Times New Roman" w:hAnsi="Times New Roman" w:eastAsia="方正仿宋_GBK" w:cs="Times New Roman"/>
          <w:kern w:val="0"/>
          <w:sz w:val="32"/>
          <w:szCs w:val="32"/>
        </w:rPr>
        <w:t xml:space="preserve">     </w:t>
      </w:r>
    </w:p>
    <w:p w14:paraId="406CF480">
      <w:pPr>
        <w:pStyle w:val="9"/>
        <w:spacing w:line="560" w:lineRule="exact"/>
        <w:rPr>
          <w:rFonts w:ascii="Times New Roman" w:hAnsi="Times New Roman" w:eastAsia="方正仿宋_GBK" w:cs="Times New Roman"/>
          <w:kern w:val="0"/>
          <w:sz w:val="32"/>
          <w:szCs w:val="32"/>
        </w:rPr>
      </w:pPr>
    </w:p>
    <w:p w14:paraId="05EFE36C">
      <w:pPr>
        <w:pStyle w:val="9"/>
        <w:spacing w:line="560" w:lineRule="exact"/>
        <w:rPr>
          <w:rFonts w:ascii="Times New Roman" w:hAnsi="Times New Roman" w:eastAsia="方正仿宋_GBK" w:cs="Times New Roman"/>
          <w:kern w:val="0"/>
          <w:sz w:val="32"/>
          <w:szCs w:val="32"/>
        </w:rPr>
      </w:pPr>
    </w:p>
    <w:p w14:paraId="5E940708">
      <w:pPr>
        <w:pStyle w:val="9"/>
        <w:spacing w:line="560" w:lineRule="exact"/>
        <w:rPr>
          <w:rFonts w:ascii="Times New Roman" w:hAnsi="Times New Roman" w:eastAsia="方正仿宋_GBK" w:cs="Times New Roman"/>
          <w:kern w:val="0"/>
          <w:sz w:val="32"/>
          <w:szCs w:val="32"/>
        </w:rPr>
      </w:pPr>
    </w:p>
    <w:p w14:paraId="48202416">
      <w:pPr>
        <w:pStyle w:val="9"/>
        <w:spacing w:line="560" w:lineRule="exact"/>
        <w:rPr>
          <w:rFonts w:ascii="Times New Roman" w:hAnsi="Times New Roman" w:eastAsia="方正仿宋_GBK" w:cs="Times New Roman"/>
          <w:kern w:val="0"/>
          <w:sz w:val="32"/>
          <w:szCs w:val="32"/>
        </w:rPr>
      </w:pPr>
    </w:p>
    <w:p w14:paraId="3CF31585">
      <w:pPr>
        <w:pStyle w:val="9"/>
        <w:spacing w:line="560" w:lineRule="exact"/>
        <w:rPr>
          <w:rFonts w:ascii="Times New Roman" w:hAnsi="Times New Roman" w:eastAsia="方正仿宋_GBK" w:cs="Times New Roman"/>
          <w:kern w:val="0"/>
          <w:sz w:val="32"/>
          <w:szCs w:val="32"/>
        </w:rPr>
      </w:pPr>
    </w:p>
    <w:p w14:paraId="7634636D">
      <w:pPr>
        <w:pStyle w:val="9"/>
        <w:spacing w:line="560" w:lineRule="exact"/>
        <w:rPr>
          <w:rFonts w:ascii="Times New Roman" w:hAnsi="Times New Roman" w:eastAsia="方正仿宋_GBK" w:cs="Times New Roman"/>
          <w:kern w:val="0"/>
          <w:sz w:val="32"/>
          <w:szCs w:val="32"/>
        </w:rPr>
      </w:pPr>
    </w:p>
    <w:p w14:paraId="1F71EE55">
      <w:pPr>
        <w:pStyle w:val="9"/>
        <w:spacing w:line="560" w:lineRule="exact"/>
        <w:rPr>
          <w:rFonts w:ascii="Times New Roman" w:hAnsi="Times New Roman" w:eastAsia="方正仿宋_GBK" w:cs="Times New Roman"/>
          <w:kern w:val="0"/>
          <w:sz w:val="32"/>
          <w:szCs w:val="32"/>
        </w:rPr>
      </w:pPr>
    </w:p>
    <w:p w14:paraId="27B3AD45">
      <w:pPr>
        <w:pStyle w:val="9"/>
        <w:spacing w:line="560" w:lineRule="exact"/>
        <w:rPr>
          <w:rFonts w:ascii="Times New Roman" w:hAnsi="Times New Roman" w:eastAsia="方正仿宋_GBK" w:cs="Times New Roman"/>
          <w:kern w:val="0"/>
          <w:sz w:val="32"/>
          <w:szCs w:val="32"/>
        </w:rPr>
      </w:pPr>
    </w:p>
    <w:p w14:paraId="56420116">
      <w:pPr>
        <w:spacing w:line="560" w:lineRule="exact"/>
        <w:rPr>
          <w:rFonts w:ascii="Times New Roman" w:hAnsi="Times New Roman" w:eastAsia="方正黑体_GBK" w:cs="Times New Roman"/>
          <w:color w:val="000000"/>
          <w:kern w:val="0"/>
          <w:sz w:val="32"/>
          <w:szCs w:val="32"/>
        </w:rPr>
        <w:sectPr>
          <w:pgSz w:w="11906" w:h="16838"/>
          <w:pgMar w:top="1701" w:right="1587" w:bottom="1701" w:left="1587" w:header="851" w:footer="1304" w:gutter="0"/>
          <w:pgNumType w:fmt="numberInDash"/>
          <w:cols w:space="0" w:num="1"/>
          <w:docGrid w:type="lines" w:linePitch="312" w:charSpace="0"/>
        </w:sectPr>
      </w:pPr>
    </w:p>
    <w:p w14:paraId="0E94C520">
      <w:pPr>
        <w:spacing w:line="560" w:lineRule="exact"/>
        <w:outlineLvl w:val="1"/>
        <w:rPr>
          <w:rFonts w:ascii="Times New Roman" w:hAnsi="Times New Roman" w:eastAsia="方正黑体_GBK" w:cs="Times New Roman"/>
          <w:color w:val="000000"/>
          <w:kern w:val="0"/>
          <w:sz w:val="32"/>
          <w:szCs w:val="32"/>
        </w:rPr>
      </w:pPr>
      <w:r>
        <w:rPr>
          <w:rFonts w:ascii="Times New Roman" w:hAnsi="Times New Roman" w:eastAsia="方正黑体_GBK" w:cs="Times New Roman"/>
          <w:color w:val="000000"/>
          <w:kern w:val="0"/>
          <w:sz w:val="32"/>
          <w:szCs w:val="32"/>
        </w:rPr>
        <w:t>附件1：</w:t>
      </w:r>
    </w:p>
    <w:p w14:paraId="0B0DE86C">
      <w:pPr>
        <w:jc w:val="center"/>
        <w:outlineLvl w:val="2"/>
        <w:rPr>
          <w:rFonts w:ascii="Times New Roman" w:hAnsi="Times New Roman" w:eastAsia="方正黑体_GBK" w:cs="Times New Roman"/>
          <w:color w:val="000000"/>
          <w:kern w:val="0"/>
          <w:sz w:val="36"/>
          <w:szCs w:val="36"/>
        </w:rPr>
      </w:pPr>
      <w:r>
        <w:rPr>
          <w:rFonts w:ascii="Times New Roman" w:hAnsi="Times New Roman" w:eastAsia="方正黑体_GBK" w:cs="Times New Roman"/>
          <w:color w:val="000000"/>
          <w:kern w:val="0"/>
          <w:sz w:val="36"/>
          <w:szCs w:val="36"/>
        </w:rPr>
        <w:t>秦淮区2023年度国民经济和社会发展计划</w:t>
      </w:r>
    </w:p>
    <w:tbl>
      <w:tblPr>
        <w:tblStyle w:val="12"/>
        <w:tblW w:w="9311" w:type="dxa"/>
        <w:jc w:val="center"/>
        <w:tblLayout w:type="fixed"/>
        <w:tblCellMar>
          <w:top w:w="0" w:type="dxa"/>
          <w:left w:w="108" w:type="dxa"/>
          <w:bottom w:w="0" w:type="dxa"/>
          <w:right w:w="108" w:type="dxa"/>
        </w:tblCellMar>
      </w:tblPr>
      <w:tblGrid>
        <w:gridCol w:w="729"/>
        <w:gridCol w:w="8582"/>
      </w:tblGrid>
      <w:tr w14:paraId="753D8B41">
        <w:trPr>
          <w:trHeight w:val="285"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604EA">
            <w:pPr>
              <w:widowControl/>
              <w:spacing w:line="360" w:lineRule="exact"/>
              <w:jc w:val="center"/>
              <w:textAlignment w:val="center"/>
              <w:rPr>
                <w:rFonts w:ascii="Times New Roman" w:hAnsi="Times New Roman" w:eastAsia="方正黑体_GBK" w:cs="Times New Roman"/>
                <w:color w:val="000000"/>
                <w:sz w:val="24"/>
              </w:rPr>
            </w:pPr>
            <w:r>
              <w:rPr>
                <w:rFonts w:ascii="Times New Roman" w:hAnsi="Times New Roman" w:eastAsia="方正黑体_GBK" w:cs="Times New Roman"/>
                <w:color w:val="000000"/>
                <w:kern w:val="0"/>
                <w:sz w:val="24"/>
              </w:rPr>
              <w:t>序号</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5D16">
            <w:pPr>
              <w:widowControl/>
              <w:spacing w:line="360" w:lineRule="exact"/>
              <w:jc w:val="center"/>
              <w:textAlignment w:val="center"/>
              <w:rPr>
                <w:rFonts w:ascii="Times New Roman" w:hAnsi="Times New Roman" w:eastAsia="方正黑体_GBK" w:cs="Times New Roman"/>
                <w:color w:val="000000"/>
                <w:sz w:val="24"/>
              </w:rPr>
            </w:pPr>
            <w:r>
              <w:rPr>
                <w:rFonts w:ascii="Times New Roman" w:hAnsi="Times New Roman" w:eastAsia="方正黑体_GBK" w:cs="Times New Roman"/>
                <w:color w:val="000000"/>
                <w:kern w:val="0"/>
                <w:sz w:val="24"/>
              </w:rPr>
              <w:t>目标</w:t>
            </w:r>
          </w:p>
        </w:tc>
      </w:tr>
      <w:tr w14:paraId="5AAE0A62">
        <w:tblPrEx>
          <w:tblCellMar>
            <w:top w:w="0" w:type="dxa"/>
            <w:left w:w="108" w:type="dxa"/>
            <w:bottom w:w="0" w:type="dxa"/>
            <w:right w:w="108" w:type="dxa"/>
          </w:tblCellMar>
        </w:tblPrEx>
        <w:trPr>
          <w:trHeight w:val="285"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65113">
            <w:pPr>
              <w:widowControl/>
              <w:spacing w:line="360" w:lineRule="exact"/>
              <w:jc w:val="left"/>
              <w:textAlignment w:val="center"/>
              <w:rPr>
                <w:rFonts w:ascii="Times New Roman" w:hAnsi="Times New Roman" w:eastAsia="方正黑体_GBK" w:cs="Times New Roman"/>
                <w:color w:val="000000"/>
                <w:sz w:val="24"/>
              </w:rPr>
            </w:pPr>
            <w:r>
              <w:rPr>
                <w:rFonts w:ascii="Times New Roman" w:hAnsi="Times New Roman" w:eastAsia="方正黑体_GBK" w:cs="Times New Roman"/>
                <w:color w:val="000000"/>
                <w:kern w:val="0"/>
                <w:sz w:val="24"/>
              </w:rPr>
              <w:t>一、主要指标</w:t>
            </w:r>
          </w:p>
        </w:tc>
      </w:tr>
      <w:tr w14:paraId="06DE59EB">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DD199">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967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地区生产总值增长</w:t>
            </w:r>
            <w:r>
              <w:rPr>
                <w:rStyle w:val="20"/>
                <w:rFonts w:eastAsia="宋体"/>
                <w:sz w:val="24"/>
                <w:szCs w:val="24"/>
              </w:rPr>
              <w:t>6.5%</w:t>
            </w:r>
          </w:p>
        </w:tc>
      </w:tr>
      <w:tr w14:paraId="7E4CE94B">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B54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E5491">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一般公共预算收入增长</w:t>
            </w:r>
            <w:r>
              <w:rPr>
                <w:rStyle w:val="20"/>
                <w:rFonts w:eastAsia="宋体"/>
                <w:sz w:val="24"/>
                <w:szCs w:val="24"/>
              </w:rPr>
              <w:t>8.5%</w:t>
            </w:r>
          </w:p>
        </w:tc>
      </w:tr>
      <w:tr w14:paraId="2EFFA09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D1E8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EC7E">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固定资产投资增长5</w:t>
            </w:r>
            <w:r>
              <w:rPr>
                <w:rStyle w:val="20"/>
                <w:rFonts w:eastAsia="宋体"/>
                <w:sz w:val="24"/>
                <w:szCs w:val="24"/>
              </w:rPr>
              <w:t>%</w:t>
            </w:r>
          </w:p>
        </w:tc>
      </w:tr>
      <w:tr w14:paraId="7E50508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5963F">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375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社会消费品零售总额增长6</w:t>
            </w:r>
            <w:r>
              <w:rPr>
                <w:rStyle w:val="20"/>
                <w:rFonts w:eastAsia="宋体"/>
                <w:sz w:val="24"/>
                <w:szCs w:val="24"/>
              </w:rPr>
              <w:t>%</w:t>
            </w:r>
          </w:p>
        </w:tc>
      </w:tr>
      <w:tr w14:paraId="03ED0C2D">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EEAC7">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03FC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外贸进出口总额增长</w:t>
            </w:r>
            <w:r>
              <w:rPr>
                <w:rStyle w:val="20"/>
                <w:rFonts w:eastAsia="宋体"/>
                <w:sz w:val="24"/>
                <w:szCs w:val="24"/>
              </w:rPr>
              <w:t>2%</w:t>
            </w:r>
          </w:p>
        </w:tc>
      </w:tr>
      <w:tr w14:paraId="044B095D">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D2305">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D92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实际使用外资</w:t>
            </w:r>
            <w:r>
              <w:rPr>
                <w:rStyle w:val="20"/>
                <w:rFonts w:eastAsia="宋体"/>
                <w:sz w:val="24"/>
                <w:szCs w:val="24"/>
              </w:rPr>
              <w:t>2.8</w:t>
            </w:r>
            <w:r>
              <w:rPr>
                <w:rFonts w:ascii="Times New Roman" w:hAnsi="Times New Roman" w:eastAsia="方正仿宋_GBK" w:cs="Times New Roman"/>
                <w:color w:val="000000"/>
                <w:sz w:val="24"/>
              </w:rPr>
              <w:t>亿美元</w:t>
            </w:r>
          </w:p>
        </w:tc>
      </w:tr>
      <w:tr w14:paraId="28BFB7FF">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81EB">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EC8D">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高技术产业投资占固定资产投资比重明显提升</w:t>
            </w:r>
          </w:p>
        </w:tc>
      </w:tr>
      <w:tr w14:paraId="4D0A60A3">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67D6">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4CBB">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高企总数达超</w:t>
            </w:r>
            <w:r>
              <w:rPr>
                <w:rStyle w:val="20"/>
                <w:rFonts w:eastAsia="宋体"/>
                <w:sz w:val="24"/>
                <w:szCs w:val="24"/>
              </w:rPr>
              <w:t>550</w:t>
            </w:r>
            <w:r>
              <w:rPr>
                <w:rFonts w:ascii="Times New Roman" w:hAnsi="Times New Roman" w:eastAsia="方正仿宋_GBK" w:cs="Times New Roman"/>
                <w:color w:val="000000"/>
                <w:sz w:val="24"/>
              </w:rPr>
              <w:t>家</w:t>
            </w:r>
          </w:p>
        </w:tc>
      </w:tr>
      <w:tr w14:paraId="49F04A6A">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97649">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840D">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实现高新技术企业营业收入</w:t>
            </w:r>
            <w:r>
              <w:rPr>
                <w:rStyle w:val="20"/>
                <w:rFonts w:eastAsia="宋体"/>
                <w:sz w:val="24"/>
                <w:szCs w:val="24"/>
              </w:rPr>
              <w:t>340</w:t>
            </w:r>
            <w:r>
              <w:rPr>
                <w:rFonts w:ascii="Times New Roman" w:hAnsi="Times New Roman" w:eastAsia="方正仿宋_GBK" w:cs="Times New Roman"/>
                <w:color w:val="000000"/>
                <w:sz w:val="24"/>
              </w:rPr>
              <w:t>亿元</w:t>
            </w:r>
          </w:p>
        </w:tc>
      </w:tr>
      <w:tr w14:paraId="0FDB360F">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CB6BA">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4F6B">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培育创新型企业家</w:t>
            </w:r>
            <w:r>
              <w:rPr>
                <w:rStyle w:val="20"/>
                <w:rFonts w:eastAsia="宋体"/>
                <w:sz w:val="24"/>
                <w:szCs w:val="24"/>
              </w:rPr>
              <w:t>6</w:t>
            </w:r>
            <w:r>
              <w:rPr>
                <w:rFonts w:ascii="Times New Roman" w:hAnsi="Times New Roman" w:eastAsia="方正仿宋_GBK" w:cs="Times New Roman"/>
                <w:color w:val="000000"/>
                <w:sz w:val="24"/>
              </w:rPr>
              <w:t>人</w:t>
            </w:r>
          </w:p>
        </w:tc>
      </w:tr>
      <w:tr w14:paraId="183A8F7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0847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800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引进市级高层次创新创业人才</w:t>
            </w:r>
            <w:r>
              <w:rPr>
                <w:rStyle w:val="20"/>
                <w:rFonts w:eastAsia="宋体"/>
                <w:sz w:val="24"/>
                <w:szCs w:val="24"/>
              </w:rPr>
              <w:t>12</w:t>
            </w:r>
            <w:r>
              <w:rPr>
                <w:rFonts w:ascii="Times New Roman" w:hAnsi="Times New Roman" w:eastAsia="方正仿宋_GBK" w:cs="Times New Roman"/>
                <w:color w:val="000000"/>
                <w:sz w:val="24"/>
              </w:rPr>
              <w:t>人</w:t>
            </w:r>
          </w:p>
        </w:tc>
      </w:tr>
      <w:tr w14:paraId="1DF20BE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139F2">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AEDC6">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工业战略性新兴产业总产值占工业总产值比重超</w:t>
            </w:r>
            <w:r>
              <w:rPr>
                <w:rStyle w:val="20"/>
                <w:rFonts w:eastAsia="宋体"/>
                <w:sz w:val="24"/>
                <w:szCs w:val="24"/>
              </w:rPr>
              <w:t>50%</w:t>
            </w:r>
          </w:p>
        </w:tc>
      </w:tr>
      <w:tr w14:paraId="4112C159">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A649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FBF1">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居民人均可支配收入与经济增长基本同步</w:t>
            </w:r>
          </w:p>
        </w:tc>
      </w:tr>
      <w:tr w14:paraId="1369AF1B">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D1273">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FC8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城镇新增就业人数</w:t>
            </w:r>
            <w:r>
              <w:rPr>
                <w:rStyle w:val="20"/>
                <w:rFonts w:eastAsia="宋体"/>
                <w:sz w:val="24"/>
                <w:szCs w:val="24"/>
              </w:rPr>
              <w:t>2.7</w:t>
            </w:r>
            <w:r>
              <w:rPr>
                <w:rFonts w:ascii="Times New Roman" w:hAnsi="Times New Roman" w:eastAsia="方正仿宋_GBK" w:cs="Times New Roman"/>
                <w:color w:val="000000"/>
                <w:sz w:val="24"/>
              </w:rPr>
              <w:t>万人</w:t>
            </w:r>
          </w:p>
        </w:tc>
      </w:tr>
      <w:tr w14:paraId="62D25638">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BA78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4085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城镇</w:t>
            </w:r>
            <w:r>
              <w:rPr>
                <w:rFonts w:hint="eastAsia" w:ascii="Times New Roman" w:hAnsi="Times New Roman" w:eastAsia="方正仿宋_GBK" w:cs="Times New Roman"/>
                <w:color w:val="000000"/>
                <w:sz w:val="24"/>
              </w:rPr>
              <w:t>调查</w:t>
            </w:r>
            <w:r>
              <w:rPr>
                <w:rFonts w:ascii="Times New Roman" w:hAnsi="Times New Roman" w:eastAsia="方正仿宋_GBK" w:cs="Times New Roman"/>
                <w:color w:val="000000"/>
                <w:sz w:val="24"/>
              </w:rPr>
              <w:t>失业率控制在市定标准以内</w:t>
            </w:r>
          </w:p>
        </w:tc>
      </w:tr>
      <w:tr w14:paraId="2CD79E6B">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4F709">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536A3">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社会文明程度测评指数位于主城第一方阵</w:t>
            </w:r>
          </w:p>
        </w:tc>
      </w:tr>
      <w:tr w14:paraId="7274F439">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6D10A">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631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地表水国考断面水质达到或好于</w:t>
            </w:r>
            <w:r>
              <w:rPr>
                <w:rStyle w:val="20"/>
                <w:rFonts w:eastAsia="宋体"/>
                <w:sz w:val="24"/>
                <w:szCs w:val="24"/>
              </w:rPr>
              <w:t>Ⅲ</w:t>
            </w:r>
            <w:r>
              <w:rPr>
                <w:rFonts w:ascii="Times New Roman" w:hAnsi="Times New Roman" w:eastAsia="方正仿宋_GBK" w:cs="Times New Roman"/>
                <w:color w:val="000000"/>
                <w:sz w:val="24"/>
              </w:rPr>
              <w:t>类水体比例</w:t>
            </w:r>
          </w:p>
        </w:tc>
      </w:tr>
      <w:tr w14:paraId="05150D26">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E2FB5">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380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空气质量优良天数比例与</w:t>
            </w:r>
            <w:r>
              <w:rPr>
                <w:rStyle w:val="20"/>
                <w:rFonts w:eastAsia="宋体"/>
                <w:sz w:val="24"/>
                <w:szCs w:val="24"/>
              </w:rPr>
              <w:t>PM2.5</w:t>
            </w:r>
            <w:r>
              <w:rPr>
                <w:rFonts w:ascii="Times New Roman" w:hAnsi="Times New Roman" w:eastAsia="方正仿宋_GBK" w:cs="Times New Roman"/>
                <w:color w:val="000000"/>
                <w:sz w:val="24"/>
              </w:rPr>
              <w:t>年均浓度达省定目标</w:t>
            </w:r>
          </w:p>
        </w:tc>
      </w:tr>
      <w:tr w14:paraId="36772027">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78CF5">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A41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安全生产形势持续稳定向好，主动防范化解重大风险，不发生较大以上生产事故</w:t>
            </w:r>
          </w:p>
        </w:tc>
      </w:tr>
      <w:tr w14:paraId="7BD5A1AC">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908C9">
            <w:pPr>
              <w:widowControl/>
              <w:spacing w:line="360" w:lineRule="exact"/>
              <w:jc w:val="center"/>
              <w:textAlignment w:val="center"/>
              <w:rPr>
                <w:rFonts w:ascii="Times New Roman" w:hAnsi="Times New Roman" w:eastAsia="宋体" w:cs="Times New Roman"/>
                <w:color w:val="000000"/>
                <w:kern w:val="0"/>
                <w:sz w:val="24"/>
              </w:rPr>
            </w:pPr>
            <w:r>
              <w:rPr>
                <w:rFonts w:ascii="Times New Roman" w:hAnsi="Times New Roman" w:eastAsia="方正仿宋_GBK" w:cs="Times New Roman"/>
                <w:color w:val="000000"/>
                <w:kern w:val="0"/>
                <w:sz w:val="24"/>
              </w:rPr>
              <w:t>20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70C3">
            <w:pPr>
              <w:widowControl/>
              <w:spacing w:line="360" w:lineRule="exact"/>
              <w:jc w:val="left"/>
              <w:textAlignment w:val="center"/>
              <w:rPr>
                <w:rFonts w:ascii="Times New Roman" w:hAnsi="Times New Roman" w:eastAsia="方正仿宋_GBK" w:cs="Times New Roman"/>
                <w:color w:val="000000"/>
                <w:sz w:val="24"/>
              </w:rPr>
            </w:pPr>
            <w:r>
              <w:rPr>
                <w:rFonts w:hint="eastAsia" w:ascii="Times New Roman" w:hAnsi="Times New Roman" w:eastAsia="方正仿宋_GBK" w:cs="Times New Roman"/>
                <w:color w:val="000000"/>
                <w:sz w:val="24"/>
              </w:rPr>
              <w:t>开展第五次全国经济普查</w:t>
            </w:r>
          </w:p>
        </w:tc>
      </w:tr>
      <w:tr w14:paraId="38B9D23C">
        <w:tblPrEx>
          <w:tblCellMar>
            <w:top w:w="0" w:type="dxa"/>
            <w:left w:w="108" w:type="dxa"/>
            <w:bottom w:w="0" w:type="dxa"/>
            <w:right w:w="108" w:type="dxa"/>
          </w:tblCellMar>
        </w:tblPrEx>
        <w:trPr>
          <w:trHeight w:val="285"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11F8E">
            <w:pPr>
              <w:widowControl/>
              <w:spacing w:line="360" w:lineRule="exact"/>
              <w:jc w:val="left"/>
              <w:textAlignment w:val="center"/>
              <w:rPr>
                <w:rFonts w:ascii="Times New Roman" w:hAnsi="Times New Roman" w:eastAsia="方正黑体_GBK" w:cs="Times New Roman"/>
                <w:color w:val="000000"/>
                <w:sz w:val="24"/>
              </w:rPr>
            </w:pPr>
            <w:r>
              <w:rPr>
                <w:rFonts w:ascii="Times New Roman" w:hAnsi="Times New Roman" w:eastAsia="方正黑体_GBK" w:cs="Times New Roman"/>
                <w:color w:val="000000"/>
                <w:kern w:val="0"/>
                <w:sz w:val="24"/>
              </w:rPr>
              <w:t>二、重点任务</w:t>
            </w:r>
          </w:p>
        </w:tc>
      </w:tr>
      <w:tr w14:paraId="52CD5DE6">
        <w:tblPrEx>
          <w:tblCellMar>
            <w:top w:w="0" w:type="dxa"/>
            <w:left w:w="108" w:type="dxa"/>
            <w:bottom w:w="0" w:type="dxa"/>
            <w:right w:w="108" w:type="dxa"/>
          </w:tblCellMar>
        </w:tblPrEx>
        <w:trPr>
          <w:trHeight w:val="285"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D8548">
            <w:pPr>
              <w:widowControl/>
              <w:spacing w:line="360" w:lineRule="exact"/>
              <w:jc w:val="left"/>
              <w:textAlignment w:val="center"/>
              <w:rPr>
                <w:rFonts w:ascii="Times New Roman" w:hAnsi="Times New Roman" w:eastAsia="方正楷体_GBK" w:cs="Times New Roman"/>
                <w:color w:val="000000"/>
                <w:sz w:val="24"/>
              </w:rPr>
            </w:pPr>
            <w:r>
              <w:rPr>
                <w:rFonts w:ascii="Times New Roman" w:hAnsi="Times New Roman" w:eastAsia="方正楷体_GBK" w:cs="Times New Roman"/>
                <w:color w:val="000000"/>
                <w:kern w:val="0"/>
                <w:sz w:val="24"/>
              </w:rPr>
              <w:t>(一) 突出经济统筹，提升发展质效</w:t>
            </w:r>
          </w:p>
        </w:tc>
      </w:tr>
      <w:tr w14:paraId="71E7DF7B">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F9D6D">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1</w:t>
            </w:r>
            <w:r>
              <w:rPr>
                <w:rFonts w:ascii="Times New Roman" w:hAnsi="Times New Roman" w:eastAsia="方正仿宋_GBK" w:cs="Times New Roman"/>
                <w:b/>
                <w:bCs/>
                <w:color w:val="000000"/>
                <w:sz w:val="24"/>
              </w:rPr>
              <w:t>、产业项目提速</w:t>
            </w:r>
          </w:p>
        </w:tc>
      </w:tr>
      <w:tr w14:paraId="14A42B2C">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39DA0">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21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DB04">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全力推动新华社、万锦汇等项目开工</w:t>
            </w:r>
          </w:p>
        </w:tc>
      </w:tr>
      <w:tr w14:paraId="4F9C96B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E1EB1">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22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A9E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加快推进越城天地、西五华里等休闲文化旅游街区建设</w:t>
            </w:r>
          </w:p>
        </w:tc>
      </w:tr>
      <w:tr w14:paraId="214E1499">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727D5">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23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BF6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加快推进白下高新新型都市工业园、金地商置苏鲁总部等项目建设</w:t>
            </w:r>
          </w:p>
        </w:tc>
      </w:tr>
      <w:tr w14:paraId="3E4610C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C6818">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24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53BD">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中航科技城、佰汇广场等项目实现重启</w:t>
            </w:r>
          </w:p>
        </w:tc>
      </w:tr>
      <w:tr w14:paraId="04D28E86">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D82B7">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25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17EE">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金陵中环</w:t>
            </w:r>
            <w:r>
              <w:rPr>
                <w:rStyle w:val="20"/>
                <w:rFonts w:eastAsia="宋体"/>
                <w:sz w:val="24"/>
                <w:szCs w:val="24"/>
              </w:rPr>
              <w:t>B</w:t>
            </w:r>
            <w:r>
              <w:rPr>
                <w:rFonts w:ascii="Times New Roman" w:hAnsi="Times New Roman" w:eastAsia="方正仿宋_GBK" w:cs="Times New Roman"/>
                <w:color w:val="000000"/>
                <w:sz w:val="24"/>
              </w:rPr>
              <w:t>地块开业</w:t>
            </w:r>
          </w:p>
        </w:tc>
      </w:tr>
      <w:tr w14:paraId="7FB3C604">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0E730">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26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5D84">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金城精益医疗科技健康产业园、东部城市商业中心基本完工</w:t>
            </w:r>
          </w:p>
        </w:tc>
      </w:tr>
      <w:tr w14:paraId="6684013B">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E818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27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D11B">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璞悦和园、金基望樾府等</w:t>
            </w:r>
            <w:r>
              <w:rPr>
                <w:rStyle w:val="20"/>
                <w:rFonts w:eastAsia="宋体"/>
                <w:sz w:val="24"/>
                <w:szCs w:val="24"/>
              </w:rPr>
              <w:t>163</w:t>
            </w:r>
            <w:r>
              <w:rPr>
                <w:rFonts w:ascii="Times New Roman" w:hAnsi="Times New Roman" w:eastAsia="方正仿宋_GBK" w:cs="Times New Roman"/>
                <w:color w:val="000000"/>
                <w:sz w:val="24"/>
              </w:rPr>
              <w:t>万平方米住宅项目</w:t>
            </w:r>
            <w:r>
              <w:rPr>
                <w:rFonts w:hint="eastAsia" w:ascii="Times New Roman" w:hAnsi="Times New Roman" w:eastAsia="方正仿宋_GBK" w:cs="Times New Roman"/>
                <w:color w:val="000000"/>
                <w:sz w:val="24"/>
              </w:rPr>
              <w:t>基本完工</w:t>
            </w:r>
          </w:p>
        </w:tc>
      </w:tr>
      <w:tr w14:paraId="1B5FA913">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F63DB">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2</w:t>
            </w:r>
            <w:r>
              <w:rPr>
                <w:rFonts w:ascii="Times New Roman" w:hAnsi="Times New Roman" w:eastAsia="方正仿宋_GBK" w:cs="Times New Roman"/>
                <w:b/>
                <w:bCs/>
                <w:color w:val="000000"/>
                <w:sz w:val="24"/>
              </w:rPr>
              <w:t>、招商引资提效</w:t>
            </w:r>
          </w:p>
        </w:tc>
      </w:tr>
      <w:tr w14:paraId="486035C1">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B8AB">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28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206D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深化区城一体招商，发挥产业基金</w:t>
            </w:r>
            <w:r>
              <w:rPr>
                <w:rStyle w:val="20"/>
                <w:rFonts w:eastAsia="宋体"/>
                <w:sz w:val="24"/>
                <w:szCs w:val="24"/>
              </w:rPr>
              <w:t>“</w:t>
            </w:r>
            <w:r>
              <w:rPr>
                <w:rFonts w:ascii="Times New Roman" w:hAnsi="Times New Roman" w:eastAsia="方正仿宋_GBK" w:cs="Times New Roman"/>
                <w:color w:val="000000"/>
                <w:sz w:val="24"/>
              </w:rPr>
              <w:t>招投联动</w:t>
            </w:r>
            <w:r>
              <w:rPr>
                <w:rStyle w:val="20"/>
                <w:rFonts w:eastAsia="宋体"/>
                <w:sz w:val="24"/>
                <w:szCs w:val="24"/>
              </w:rPr>
              <w:t>”</w:t>
            </w:r>
            <w:r>
              <w:rPr>
                <w:rFonts w:ascii="Times New Roman" w:hAnsi="Times New Roman" w:eastAsia="方正仿宋_GBK" w:cs="Times New Roman"/>
                <w:color w:val="000000"/>
                <w:sz w:val="24"/>
              </w:rPr>
              <w:t>作用，统筹载体供给和政策保障</w:t>
            </w:r>
          </w:p>
        </w:tc>
      </w:tr>
      <w:tr w14:paraId="32B5403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B9679">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29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01AB">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举办招商推介活动</w:t>
            </w:r>
            <w:r>
              <w:rPr>
                <w:rStyle w:val="20"/>
                <w:rFonts w:eastAsia="宋体"/>
                <w:sz w:val="24"/>
                <w:szCs w:val="24"/>
              </w:rPr>
              <w:t>30</w:t>
            </w:r>
            <w:r>
              <w:rPr>
                <w:rFonts w:ascii="Times New Roman" w:hAnsi="Times New Roman" w:eastAsia="方正仿宋_GBK" w:cs="Times New Roman"/>
                <w:color w:val="000000"/>
                <w:sz w:val="24"/>
              </w:rPr>
              <w:t>场</w:t>
            </w:r>
          </w:p>
        </w:tc>
      </w:tr>
      <w:tr w14:paraId="2C0843D7">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9E1E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30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4201">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引入优质项目</w:t>
            </w:r>
            <w:r>
              <w:rPr>
                <w:rStyle w:val="20"/>
                <w:rFonts w:eastAsia="宋体"/>
                <w:sz w:val="24"/>
                <w:szCs w:val="24"/>
              </w:rPr>
              <w:t>100</w:t>
            </w:r>
            <w:r>
              <w:rPr>
                <w:rFonts w:ascii="Times New Roman" w:hAnsi="Times New Roman" w:eastAsia="方正仿宋_GBK" w:cs="Times New Roman"/>
                <w:color w:val="000000"/>
                <w:sz w:val="24"/>
              </w:rPr>
              <w:t>个</w:t>
            </w:r>
          </w:p>
        </w:tc>
      </w:tr>
      <w:tr w14:paraId="0D821633">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BF6C">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31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1FD50">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新增总部类企业超</w:t>
            </w:r>
            <w:r>
              <w:rPr>
                <w:rStyle w:val="20"/>
                <w:rFonts w:eastAsia="宋体"/>
                <w:sz w:val="24"/>
                <w:szCs w:val="24"/>
              </w:rPr>
              <w:t>20</w:t>
            </w:r>
            <w:r>
              <w:rPr>
                <w:rFonts w:ascii="Times New Roman" w:hAnsi="Times New Roman" w:eastAsia="方正仿宋_GBK" w:cs="Times New Roman"/>
                <w:color w:val="000000"/>
                <w:sz w:val="24"/>
              </w:rPr>
              <w:t>家</w:t>
            </w:r>
          </w:p>
        </w:tc>
      </w:tr>
      <w:tr w14:paraId="6726E341">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A945A">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32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0D93">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完成实际利用内资</w:t>
            </w:r>
            <w:r>
              <w:rPr>
                <w:rStyle w:val="20"/>
                <w:rFonts w:eastAsia="宋体"/>
                <w:sz w:val="24"/>
                <w:szCs w:val="24"/>
              </w:rPr>
              <w:t>100</w:t>
            </w:r>
            <w:r>
              <w:rPr>
                <w:rFonts w:ascii="Times New Roman" w:hAnsi="Times New Roman" w:eastAsia="方正仿宋_GBK" w:cs="Times New Roman"/>
                <w:color w:val="000000"/>
                <w:sz w:val="24"/>
              </w:rPr>
              <w:t>亿元</w:t>
            </w:r>
          </w:p>
        </w:tc>
      </w:tr>
      <w:tr w14:paraId="2553816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3F2BB">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33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CD8B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签约项目投资总额达</w:t>
            </w:r>
            <w:r>
              <w:rPr>
                <w:rStyle w:val="20"/>
                <w:rFonts w:eastAsia="宋体"/>
                <w:sz w:val="24"/>
                <w:szCs w:val="24"/>
              </w:rPr>
              <w:t>576</w:t>
            </w:r>
            <w:r>
              <w:rPr>
                <w:rFonts w:ascii="Times New Roman" w:hAnsi="Times New Roman" w:eastAsia="方正仿宋_GBK" w:cs="Times New Roman"/>
                <w:color w:val="000000"/>
                <w:sz w:val="24"/>
              </w:rPr>
              <w:t>亿元</w:t>
            </w:r>
          </w:p>
        </w:tc>
      </w:tr>
      <w:tr w14:paraId="3076C6B2">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D3BC1">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3</w:t>
            </w:r>
            <w:r>
              <w:rPr>
                <w:rFonts w:ascii="Times New Roman" w:hAnsi="Times New Roman" w:eastAsia="方正仿宋_GBK" w:cs="Times New Roman"/>
                <w:b/>
                <w:bCs/>
                <w:color w:val="000000"/>
                <w:sz w:val="24"/>
              </w:rPr>
              <w:t>、楼园载体提质</w:t>
            </w:r>
          </w:p>
        </w:tc>
      </w:tr>
      <w:tr w14:paraId="73332E67">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8CC9A">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34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5246">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实施载体拟入驻企业综合评审制度，推进分散产权商务载体整合</w:t>
            </w:r>
          </w:p>
        </w:tc>
      </w:tr>
      <w:tr w14:paraId="58E79F2C">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2C203">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35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40B1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w:t>
            </w:r>
            <w:r>
              <w:rPr>
                <w:rFonts w:hint="eastAsia" w:ascii="Times New Roman" w:hAnsi="Times New Roman" w:eastAsia="方正仿宋_GBK" w:cs="Times New Roman"/>
                <w:color w:val="000000"/>
                <w:sz w:val="24"/>
              </w:rPr>
              <w:t>南工大无为数字文化产业园</w:t>
            </w:r>
            <w:r>
              <w:rPr>
                <w:rFonts w:ascii="Times New Roman" w:hAnsi="Times New Roman" w:eastAsia="方正仿宋_GBK" w:cs="Times New Roman"/>
                <w:color w:val="000000"/>
                <w:sz w:val="24"/>
              </w:rPr>
              <w:t>、新工秦淮硅巷柳树湾数创科技园等</w:t>
            </w:r>
            <w:r>
              <w:rPr>
                <w:rStyle w:val="20"/>
                <w:rFonts w:eastAsia="宋体"/>
                <w:sz w:val="24"/>
                <w:szCs w:val="24"/>
              </w:rPr>
              <w:t>10</w:t>
            </w:r>
            <w:r>
              <w:rPr>
                <w:rFonts w:ascii="Times New Roman" w:hAnsi="Times New Roman" w:eastAsia="方正仿宋_GBK" w:cs="Times New Roman"/>
                <w:color w:val="000000"/>
                <w:sz w:val="24"/>
              </w:rPr>
              <w:t>个楼宇（园区）品质提升</w:t>
            </w:r>
          </w:p>
        </w:tc>
      </w:tr>
      <w:tr w14:paraId="72F4A5D1">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E09DF">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36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22B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新增税收亿元楼宇</w:t>
            </w:r>
            <w:r>
              <w:rPr>
                <w:rStyle w:val="20"/>
                <w:rFonts w:eastAsia="宋体"/>
                <w:sz w:val="24"/>
                <w:szCs w:val="24"/>
              </w:rPr>
              <w:t>2</w:t>
            </w:r>
            <w:r>
              <w:rPr>
                <w:rFonts w:ascii="Times New Roman" w:hAnsi="Times New Roman" w:eastAsia="方正仿宋_GBK" w:cs="Times New Roman"/>
                <w:color w:val="000000"/>
                <w:sz w:val="24"/>
              </w:rPr>
              <w:t>栋</w:t>
            </w:r>
          </w:p>
        </w:tc>
      </w:tr>
      <w:tr w14:paraId="0805B0A7">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AEC05">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37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0FB4">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重点楼宇（园区）坪效稳步提升</w:t>
            </w:r>
          </w:p>
        </w:tc>
      </w:tr>
      <w:tr w14:paraId="2ECA0C19">
        <w:tblPrEx>
          <w:tblCellMar>
            <w:top w:w="0" w:type="dxa"/>
            <w:left w:w="108" w:type="dxa"/>
            <w:bottom w:w="0" w:type="dxa"/>
            <w:right w:w="108" w:type="dxa"/>
          </w:tblCellMar>
        </w:tblPrEx>
        <w:trPr>
          <w:trHeight w:val="285"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DD4A1">
            <w:pPr>
              <w:widowControl/>
              <w:spacing w:line="360" w:lineRule="exact"/>
              <w:jc w:val="left"/>
              <w:textAlignment w:val="center"/>
              <w:rPr>
                <w:rFonts w:ascii="Times New Roman" w:hAnsi="Times New Roman" w:eastAsia="方正楷体_GBK" w:cs="Times New Roman"/>
                <w:color w:val="000000"/>
                <w:sz w:val="24"/>
              </w:rPr>
            </w:pPr>
            <w:r>
              <w:rPr>
                <w:rFonts w:ascii="Times New Roman" w:hAnsi="Times New Roman" w:eastAsia="方正楷体_GBK" w:cs="Times New Roman"/>
                <w:color w:val="000000"/>
                <w:kern w:val="0"/>
                <w:sz w:val="24"/>
              </w:rPr>
              <w:t>(二) 聚焦特色产业，持续做优做强</w:t>
            </w:r>
          </w:p>
        </w:tc>
      </w:tr>
      <w:tr w14:paraId="3DDA9578">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A1083">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1</w:t>
            </w:r>
            <w:r>
              <w:rPr>
                <w:rFonts w:ascii="Times New Roman" w:hAnsi="Times New Roman" w:eastAsia="方正仿宋_GBK" w:cs="Times New Roman"/>
                <w:b/>
                <w:bCs/>
                <w:color w:val="000000"/>
                <w:sz w:val="24"/>
              </w:rPr>
              <w:t>、放大商贸商务活力</w:t>
            </w:r>
          </w:p>
        </w:tc>
      </w:tr>
      <w:tr w14:paraId="16BBFBBA">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2A0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38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262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深化国际消费中心城市核心区建设，加快推进新街口商圈环境品质提升</w:t>
            </w:r>
          </w:p>
        </w:tc>
      </w:tr>
      <w:tr w14:paraId="7C2C784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E112">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39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80944">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实施新百裙楼和门东街区智慧化改造</w:t>
            </w:r>
          </w:p>
        </w:tc>
      </w:tr>
      <w:tr w14:paraId="231929B1">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C8AE5">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40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CE82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开展新品首发、首秀等各类消费促进活动</w:t>
            </w:r>
            <w:r>
              <w:rPr>
                <w:rStyle w:val="20"/>
                <w:rFonts w:eastAsia="宋体"/>
                <w:sz w:val="24"/>
                <w:szCs w:val="24"/>
              </w:rPr>
              <w:t>450</w:t>
            </w:r>
            <w:r>
              <w:rPr>
                <w:rFonts w:ascii="Times New Roman" w:hAnsi="Times New Roman" w:eastAsia="方正仿宋_GBK" w:cs="Times New Roman"/>
                <w:color w:val="000000"/>
                <w:sz w:val="24"/>
              </w:rPr>
              <w:t>场</w:t>
            </w:r>
          </w:p>
        </w:tc>
      </w:tr>
      <w:tr w14:paraId="46040B1D">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8D68">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41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5B2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新增国内外高端消费品牌首店、旗舰店、形象店</w:t>
            </w:r>
            <w:r>
              <w:rPr>
                <w:rStyle w:val="20"/>
                <w:rFonts w:eastAsia="宋体"/>
                <w:sz w:val="24"/>
                <w:szCs w:val="24"/>
              </w:rPr>
              <w:t>60</w:t>
            </w:r>
            <w:r>
              <w:rPr>
                <w:rFonts w:ascii="Times New Roman" w:hAnsi="Times New Roman" w:eastAsia="方正仿宋_GBK" w:cs="Times New Roman"/>
                <w:color w:val="000000"/>
                <w:sz w:val="24"/>
              </w:rPr>
              <w:t>家</w:t>
            </w:r>
          </w:p>
        </w:tc>
      </w:tr>
      <w:tr w14:paraId="5C8D67EC">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D835E">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42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E4C9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新增销售额过亿商贸企业20家</w:t>
            </w:r>
          </w:p>
        </w:tc>
      </w:tr>
      <w:tr w14:paraId="62C2D9EC">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BAACA">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43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1AD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限上贸易额增长5%</w:t>
            </w:r>
          </w:p>
        </w:tc>
      </w:tr>
      <w:tr w14:paraId="30CC75F4">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E8618">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44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E792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探索外贸发展路径，推进南钢国贸、汇鸿中鼎等申报省级内外贸一体化试点</w:t>
            </w:r>
          </w:p>
        </w:tc>
      </w:tr>
      <w:tr w14:paraId="36BC1D87">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F86FE">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45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EFA6">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争创省级服务贸易示范区</w:t>
            </w:r>
          </w:p>
        </w:tc>
      </w:tr>
      <w:tr w14:paraId="6C958A1A">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F7E18">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2</w:t>
            </w:r>
            <w:r>
              <w:rPr>
                <w:rFonts w:ascii="Times New Roman" w:hAnsi="Times New Roman" w:eastAsia="方正仿宋_GBK" w:cs="Times New Roman"/>
                <w:b/>
                <w:bCs/>
                <w:color w:val="000000"/>
                <w:sz w:val="24"/>
              </w:rPr>
              <w:t>、增强文旅融合引力</w:t>
            </w:r>
          </w:p>
        </w:tc>
      </w:tr>
      <w:tr w14:paraId="519EDB37">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FF6E">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46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692E">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放大</w:t>
            </w:r>
            <w:r>
              <w:rPr>
                <w:rStyle w:val="20"/>
                <w:rFonts w:eastAsia="宋体"/>
                <w:sz w:val="24"/>
                <w:szCs w:val="24"/>
              </w:rPr>
              <w:t>“</w:t>
            </w:r>
            <w:r>
              <w:rPr>
                <w:rFonts w:ascii="Times New Roman" w:hAnsi="Times New Roman" w:eastAsia="方正仿宋_GBK" w:cs="Times New Roman"/>
                <w:color w:val="000000"/>
                <w:sz w:val="24"/>
              </w:rPr>
              <w:t>夜享秦淮</w:t>
            </w:r>
            <w:r>
              <w:rPr>
                <w:rStyle w:val="20"/>
                <w:rFonts w:eastAsia="宋体"/>
                <w:sz w:val="24"/>
                <w:szCs w:val="24"/>
              </w:rPr>
              <w:t>”</w:t>
            </w:r>
            <w:r>
              <w:rPr>
                <w:rFonts w:ascii="Times New Roman" w:hAnsi="Times New Roman" w:eastAsia="方正仿宋_GBK" w:cs="Times New Roman"/>
                <w:color w:val="000000"/>
                <w:sz w:val="24"/>
              </w:rPr>
              <w:t>品牌国内外影响力</w:t>
            </w:r>
            <w:r>
              <w:rPr>
                <w:rFonts w:hint="eastAsia" w:ascii="Times New Roman" w:hAnsi="Times New Roman" w:eastAsia="方正仿宋_GBK" w:cs="Times New Roman"/>
                <w:color w:val="000000"/>
                <w:sz w:val="24"/>
              </w:rPr>
              <w:t>，</w:t>
            </w:r>
            <w:r>
              <w:rPr>
                <w:rFonts w:ascii="Times New Roman" w:hAnsi="Times New Roman" w:eastAsia="方正仿宋_GBK" w:cs="Times New Roman"/>
                <w:color w:val="000000"/>
                <w:sz w:val="24"/>
              </w:rPr>
              <w:t>完善</w:t>
            </w:r>
            <w:r>
              <w:rPr>
                <w:rStyle w:val="20"/>
                <w:rFonts w:eastAsia="宋体"/>
                <w:sz w:val="24"/>
                <w:szCs w:val="24"/>
              </w:rPr>
              <w:t>“</w:t>
            </w:r>
            <w:r>
              <w:rPr>
                <w:rFonts w:ascii="Times New Roman" w:hAnsi="Times New Roman" w:eastAsia="方正仿宋_GBK" w:cs="Times New Roman"/>
                <w:color w:val="000000"/>
                <w:sz w:val="24"/>
              </w:rPr>
              <w:t>夜游、夜娱、夜宿</w:t>
            </w:r>
            <w:r>
              <w:rPr>
                <w:rStyle w:val="20"/>
                <w:rFonts w:eastAsia="宋体"/>
                <w:sz w:val="24"/>
                <w:szCs w:val="24"/>
              </w:rPr>
              <w:t>”</w:t>
            </w:r>
            <w:r>
              <w:rPr>
                <w:rFonts w:ascii="Times New Roman" w:hAnsi="Times New Roman" w:eastAsia="方正仿宋_GBK" w:cs="Times New Roman"/>
                <w:color w:val="000000"/>
                <w:sz w:val="24"/>
              </w:rPr>
              <w:t>夜经济产业链</w:t>
            </w:r>
          </w:p>
        </w:tc>
      </w:tr>
      <w:tr w14:paraId="5CD6EA9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AF5E8">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47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736D">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秦淮特色文化产业园创成国家级文化产业示范园区</w:t>
            </w:r>
          </w:p>
        </w:tc>
      </w:tr>
      <w:tr w14:paraId="5CFD3E8D">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8D988">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48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B23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推进老城南博物馆群落建设</w:t>
            </w:r>
          </w:p>
        </w:tc>
      </w:tr>
      <w:tr w14:paraId="20460851">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68495">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49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62C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推进状元楼、门东金陵饭店等改造提升</w:t>
            </w:r>
          </w:p>
        </w:tc>
      </w:tr>
      <w:tr w14:paraId="14FEF0D4">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6AC0B">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rPr>
              <w:t>50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F401">
            <w:pPr>
              <w:widowControl/>
              <w:spacing w:line="360" w:lineRule="exact"/>
              <w:jc w:val="left"/>
              <w:textAlignment w:val="center"/>
              <w:rPr>
                <w:rFonts w:ascii="Times New Roman" w:hAnsi="Times New Roman" w:eastAsia="宋体" w:cs="Times New Roman"/>
                <w:color w:val="000000"/>
                <w:sz w:val="24"/>
              </w:rPr>
            </w:pPr>
            <w:r>
              <w:rPr>
                <w:rFonts w:hint="eastAsia" w:ascii="Times New Roman" w:hAnsi="Times New Roman" w:eastAsia="方正仿宋_GBK" w:cs="Times New Roman"/>
                <w:color w:val="000000"/>
                <w:sz w:val="24"/>
              </w:rPr>
              <w:t>推进</w:t>
            </w:r>
            <w:r>
              <w:rPr>
                <w:rFonts w:ascii="Times New Roman" w:hAnsi="Times New Roman" w:eastAsia="方正仿宋_GBK" w:cs="Times New Roman"/>
                <w:color w:val="000000"/>
                <w:sz w:val="24"/>
              </w:rPr>
              <w:t>秦淮有戏小剧场群</w:t>
            </w:r>
            <w:r>
              <w:rPr>
                <w:rFonts w:hint="eastAsia" w:ascii="Times New Roman" w:hAnsi="Times New Roman" w:eastAsia="方正仿宋_GBK" w:cs="Times New Roman"/>
                <w:color w:val="000000"/>
                <w:sz w:val="24"/>
              </w:rPr>
              <w:t>建设，</w:t>
            </w:r>
            <w:r>
              <w:rPr>
                <w:rFonts w:ascii="Times New Roman" w:hAnsi="Times New Roman" w:eastAsia="方正仿宋_GBK" w:cs="Times New Roman"/>
                <w:color w:val="000000"/>
                <w:sz w:val="24"/>
              </w:rPr>
              <w:t>打响长乐剧场、秦淮戏院里等小剧场品牌</w:t>
            </w:r>
          </w:p>
        </w:tc>
      </w:tr>
      <w:tr w14:paraId="17613DE1">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9706">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51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6463">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开展旅游景区提档升级专项行动</w:t>
            </w:r>
          </w:p>
        </w:tc>
      </w:tr>
      <w:tr w14:paraId="54A0FB03">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0A063">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52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9E5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文化产业增加值占</w:t>
            </w:r>
            <w:r>
              <w:rPr>
                <w:rStyle w:val="20"/>
                <w:rFonts w:eastAsia="宋体"/>
                <w:sz w:val="24"/>
                <w:szCs w:val="24"/>
              </w:rPr>
              <w:t>GDP</w:t>
            </w:r>
            <w:r>
              <w:rPr>
                <w:rFonts w:ascii="Times New Roman" w:hAnsi="Times New Roman" w:eastAsia="方正仿宋_GBK" w:cs="Times New Roman"/>
                <w:color w:val="000000"/>
                <w:sz w:val="24"/>
              </w:rPr>
              <w:t>比重达</w:t>
            </w:r>
            <w:r>
              <w:rPr>
                <w:rStyle w:val="20"/>
                <w:rFonts w:eastAsia="宋体"/>
                <w:sz w:val="24"/>
                <w:szCs w:val="24"/>
              </w:rPr>
              <w:t>9.8%</w:t>
            </w:r>
          </w:p>
        </w:tc>
      </w:tr>
      <w:tr w14:paraId="6FBCCF59">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E53E5">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53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1ED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旅游产业营收增幅力争超过</w:t>
            </w:r>
            <w:r>
              <w:rPr>
                <w:rStyle w:val="20"/>
                <w:rFonts w:eastAsia="宋体"/>
                <w:sz w:val="24"/>
                <w:szCs w:val="24"/>
              </w:rPr>
              <w:t>GDP</w:t>
            </w:r>
            <w:r>
              <w:rPr>
                <w:rFonts w:ascii="Times New Roman" w:hAnsi="Times New Roman" w:eastAsia="方正仿宋_GBK" w:cs="Times New Roman"/>
                <w:color w:val="000000"/>
                <w:sz w:val="24"/>
              </w:rPr>
              <w:t>增幅水平</w:t>
            </w:r>
          </w:p>
        </w:tc>
      </w:tr>
      <w:tr w14:paraId="4E7290FC">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975CF">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3</w:t>
            </w:r>
            <w:r>
              <w:rPr>
                <w:rFonts w:ascii="Times New Roman" w:hAnsi="Times New Roman" w:eastAsia="方正仿宋_GBK" w:cs="Times New Roman"/>
                <w:b/>
                <w:bCs/>
                <w:color w:val="000000"/>
                <w:sz w:val="24"/>
              </w:rPr>
              <w:t>、做强金融产业支柱</w:t>
            </w:r>
          </w:p>
        </w:tc>
      </w:tr>
      <w:tr w14:paraId="01FCFE97">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2360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54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D13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服务传统金融业态回流</w:t>
            </w:r>
          </w:p>
        </w:tc>
      </w:tr>
      <w:tr w14:paraId="31E86C4C">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3A805">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55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BE8E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新增区域性金融总部及各类机构</w:t>
            </w:r>
            <w:r>
              <w:rPr>
                <w:rStyle w:val="20"/>
                <w:rFonts w:eastAsia="宋体"/>
                <w:sz w:val="24"/>
                <w:szCs w:val="24"/>
              </w:rPr>
              <w:t>15</w:t>
            </w:r>
            <w:r>
              <w:rPr>
                <w:rFonts w:ascii="Times New Roman" w:hAnsi="Times New Roman" w:eastAsia="方正仿宋_GBK" w:cs="Times New Roman"/>
                <w:color w:val="000000"/>
                <w:sz w:val="24"/>
              </w:rPr>
              <w:t>家</w:t>
            </w:r>
          </w:p>
        </w:tc>
      </w:tr>
      <w:tr w14:paraId="29C3E407">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035F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56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9352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消费金融贷款规模达</w:t>
            </w:r>
            <w:r>
              <w:rPr>
                <w:rStyle w:val="20"/>
                <w:rFonts w:eastAsia="宋体"/>
                <w:sz w:val="24"/>
                <w:szCs w:val="24"/>
              </w:rPr>
              <w:t>300</w:t>
            </w:r>
            <w:r>
              <w:rPr>
                <w:rFonts w:ascii="Times New Roman" w:hAnsi="Times New Roman" w:eastAsia="方正仿宋_GBK" w:cs="Times New Roman"/>
                <w:color w:val="000000"/>
                <w:sz w:val="24"/>
              </w:rPr>
              <w:t>亿元</w:t>
            </w:r>
          </w:p>
        </w:tc>
      </w:tr>
      <w:tr w14:paraId="665FF8EF">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6D741">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57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F6A2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发挥政府引导基金牵引作用，吸引高成长性产业项目、股权证券投资基金等落地</w:t>
            </w:r>
          </w:p>
        </w:tc>
      </w:tr>
      <w:tr w14:paraId="477BFD8D">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A2AC">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58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C53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新增上市企业</w:t>
            </w:r>
            <w:r>
              <w:rPr>
                <w:rStyle w:val="20"/>
                <w:rFonts w:eastAsia="宋体"/>
                <w:sz w:val="24"/>
                <w:szCs w:val="24"/>
              </w:rPr>
              <w:t>2</w:t>
            </w:r>
            <w:r>
              <w:rPr>
                <w:rFonts w:ascii="Times New Roman" w:hAnsi="Times New Roman" w:eastAsia="方正仿宋_GBK" w:cs="Times New Roman"/>
                <w:color w:val="000000"/>
                <w:sz w:val="24"/>
              </w:rPr>
              <w:t>家</w:t>
            </w:r>
          </w:p>
        </w:tc>
      </w:tr>
      <w:tr w14:paraId="04DA18F0">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9E1C4">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59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A42E">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发挥省综合金融服务平台、市民营企业转贷基金等中小企业融资平台作用，授信金额超</w:t>
            </w:r>
            <w:r>
              <w:rPr>
                <w:rStyle w:val="20"/>
                <w:rFonts w:eastAsia="宋体"/>
                <w:sz w:val="24"/>
                <w:szCs w:val="24"/>
              </w:rPr>
              <w:t>50</w:t>
            </w:r>
            <w:r>
              <w:rPr>
                <w:rFonts w:ascii="Times New Roman" w:hAnsi="Times New Roman" w:eastAsia="方正仿宋_GBK" w:cs="Times New Roman"/>
                <w:color w:val="000000"/>
                <w:sz w:val="24"/>
              </w:rPr>
              <w:t>亿元</w:t>
            </w:r>
          </w:p>
        </w:tc>
      </w:tr>
      <w:tr w14:paraId="35F891C1">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353B3">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4</w:t>
            </w:r>
            <w:r>
              <w:rPr>
                <w:rFonts w:ascii="Times New Roman" w:hAnsi="Times New Roman" w:eastAsia="方正仿宋_GBK" w:cs="Times New Roman"/>
                <w:b/>
                <w:bCs/>
                <w:color w:val="000000"/>
                <w:sz w:val="24"/>
              </w:rPr>
              <w:t>、激发数字经济动能</w:t>
            </w:r>
          </w:p>
        </w:tc>
      </w:tr>
      <w:tr w14:paraId="19B45B00">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C80A">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60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C5FD">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推进上汽、比亚迪车联网项目落地</w:t>
            </w:r>
          </w:p>
        </w:tc>
      </w:tr>
      <w:tr w14:paraId="222A323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CA06">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61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DA5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推进车联网产业先导区二期建设</w:t>
            </w:r>
          </w:p>
        </w:tc>
      </w:tr>
      <w:tr w14:paraId="6B904BB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3BED1">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62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6E9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软件和信息服务业收入突破</w:t>
            </w:r>
            <w:r>
              <w:rPr>
                <w:rStyle w:val="20"/>
                <w:rFonts w:eastAsia="宋体"/>
                <w:sz w:val="24"/>
                <w:szCs w:val="24"/>
              </w:rPr>
              <w:t>500</w:t>
            </w:r>
            <w:r>
              <w:rPr>
                <w:rFonts w:ascii="Times New Roman" w:hAnsi="Times New Roman" w:eastAsia="方正仿宋_GBK" w:cs="Times New Roman"/>
                <w:color w:val="000000"/>
                <w:sz w:val="24"/>
              </w:rPr>
              <w:t>亿元</w:t>
            </w:r>
          </w:p>
        </w:tc>
      </w:tr>
      <w:tr w14:paraId="70C438F2">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2FA75">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63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E89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引进塞拉尼斯共享中心、巴斯夫大数据中心等数字功能总部</w:t>
            </w:r>
          </w:p>
        </w:tc>
      </w:tr>
      <w:tr w14:paraId="7FA114AC">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3BF42">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64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F69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争创数字贸易创新发展先导区</w:t>
            </w:r>
          </w:p>
        </w:tc>
      </w:tr>
      <w:tr w14:paraId="0EEC5171">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59B29">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65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97DA">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推进智能化改造，新增</w:t>
            </w:r>
            <w:r>
              <w:rPr>
                <w:rStyle w:val="20"/>
                <w:rFonts w:eastAsia="宋体"/>
                <w:sz w:val="24"/>
                <w:szCs w:val="24"/>
              </w:rPr>
              <w:t>“</w:t>
            </w:r>
            <w:r>
              <w:rPr>
                <w:rFonts w:ascii="Times New Roman" w:hAnsi="Times New Roman" w:eastAsia="方正仿宋_GBK" w:cs="Times New Roman"/>
                <w:color w:val="000000"/>
                <w:sz w:val="24"/>
              </w:rPr>
              <w:t>星级上云</w:t>
            </w:r>
            <w:r>
              <w:rPr>
                <w:rStyle w:val="20"/>
                <w:rFonts w:eastAsia="宋体"/>
                <w:sz w:val="24"/>
                <w:szCs w:val="24"/>
              </w:rPr>
              <w:t>”</w:t>
            </w:r>
            <w:r>
              <w:rPr>
                <w:rFonts w:ascii="Times New Roman" w:hAnsi="Times New Roman" w:eastAsia="方正仿宋_GBK" w:cs="Times New Roman"/>
                <w:color w:val="000000"/>
                <w:sz w:val="24"/>
              </w:rPr>
              <w:t>企业</w:t>
            </w:r>
            <w:r>
              <w:rPr>
                <w:rStyle w:val="20"/>
                <w:rFonts w:eastAsia="宋体"/>
                <w:sz w:val="24"/>
                <w:szCs w:val="24"/>
              </w:rPr>
              <w:t>10</w:t>
            </w:r>
            <w:r>
              <w:rPr>
                <w:rFonts w:ascii="Times New Roman" w:hAnsi="Times New Roman" w:eastAsia="方正仿宋_GBK" w:cs="Times New Roman"/>
                <w:color w:val="000000"/>
                <w:sz w:val="24"/>
              </w:rPr>
              <w:t>家</w:t>
            </w:r>
          </w:p>
        </w:tc>
      </w:tr>
      <w:tr w14:paraId="2931D583">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D3ACF">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66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91F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规上工业企业</w:t>
            </w:r>
            <w:r>
              <w:rPr>
                <w:rStyle w:val="20"/>
                <w:rFonts w:eastAsia="宋体"/>
                <w:sz w:val="24"/>
                <w:szCs w:val="24"/>
              </w:rPr>
              <w:t>“</w:t>
            </w:r>
            <w:r>
              <w:rPr>
                <w:rFonts w:ascii="Times New Roman" w:hAnsi="Times New Roman" w:eastAsia="方正仿宋_GBK" w:cs="Times New Roman"/>
                <w:color w:val="000000"/>
                <w:sz w:val="24"/>
              </w:rPr>
              <w:t>智改数转</w:t>
            </w:r>
            <w:r>
              <w:rPr>
                <w:rStyle w:val="20"/>
                <w:rFonts w:eastAsia="宋体"/>
                <w:sz w:val="24"/>
                <w:szCs w:val="24"/>
              </w:rPr>
              <w:t>”</w:t>
            </w:r>
            <w:r>
              <w:rPr>
                <w:rFonts w:ascii="Times New Roman" w:hAnsi="Times New Roman" w:eastAsia="方正仿宋_GBK" w:cs="Times New Roman"/>
                <w:color w:val="000000"/>
                <w:sz w:val="24"/>
              </w:rPr>
              <w:t>覆盖率达</w:t>
            </w:r>
            <w:r>
              <w:rPr>
                <w:rStyle w:val="20"/>
                <w:rFonts w:eastAsia="宋体"/>
                <w:sz w:val="24"/>
                <w:szCs w:val="24"/>
              </w:rPr>
              <w:t>70%</w:t>
            </w:r>
          </w:p>
        </w:tc>
      </w:tr>
      <w:tr w14:paraId="7FE93477">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D63BE">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67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F30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都市工业产值规模达</w:t>
            </w:r>
            <w:r>
              <w:rPr>
                <w:rStyle w:val="20"/>
                <w:rFonts w:eastAsia="宋体"/>
                <w:sz w:val="24"/>
                <w:szCs w:val="24"/>
              </w:rPr>
              <w:t>265</w:t>
            </w:r>
            <w:r>
              <w:rPr>
                <w:rFonts w:ascii="Times New Roman" w:hAnsi="Times New Roman" w:eastAsia="方正仿宋_GBK" w:cs="Times New Roman"/>
                <w:color w:val="000000"/>
                <w:sz w:val="24"/>
              </w:rPr>
              <w:t>亿元</w:t>
            </w:r>
          </w:p>
        </w:tc>
      </w:tr>
      <w:tr w14:paraId="72C7E146">
        <w:tblPrEx>
          <w:tblCellMar>
            <w:top w:w="0" w:type="dxa"/>
            <w:left w:w="108" w:type="dxa"/>
            <w:bottom w:w="0" w:type="dxa"/>
            <w:right w:w="108" w:type="dxa"/>
          </w:tblCellMar>
        </w:tblPrEx>
        <w:trPr>
          <w:trHeight w:val="285"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0A4FE">
            <w:pPr>
              <w:widowControl/>
              <w:spacing w:line="360" w:lineRule="exact"/>
              <w:jc w:val="left"/>
              <w:textAlignment w:val="center"/>
              <w:rPr>
                <w:rFonts w:ascii="Times New Roman" w:hAnsi="Times New Roman" w:eastAsia="方正楷体_GBK" w:cs="Times New Roman"/>
                <w:color w:val="000000"/>
                <w:sz w:val="24"/>
              </w:rPr>
            </w:pPr>
            <w:r>
              <w:rPr>
                <w:rFonts w:ascii="Times New Roman" w:hAnsi="Times New Roman" w:eastAsia="方正楷体_GBK" w:cs="Times New Roman"/>
                <w:color w:val="000000"/>
                <w:kern w:val="0"/>
                <w:sz w:val="24"/>
              </w:rPr>
              <w:t>（三）强化创新驱动，积蓄发展动能</w:t>
            </w:r>
          </w:p>
        </w:tc>
      </w:tr>
      <w:tr w14:paraId="724EA6D8">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910AC">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1</w:t>
            </w:r>
            <w:r>
              <w:rPr>
                <w:rFonts w:ascii="Times New Roman" w:hAnsi="Times New Roman" w:eastAsia="方正仿宋_GBK" w:cs="Times New Roman"/>
                <w:b/>
                <w:bCs/>
                <w:color w:val="000000"/>
                <w:sz w:val="24"/>
              </w:rPr>
              <w:t>、优化创新载体建管</w:t>
            </w:r>
          </w:p>
        </w:tc>
      </w:tr>
      <w:tr w14:paraId="697629D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FCE4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68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462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加快推进人工智能产业大厦、至美科技广场等科创载体建设</w:t>
            </w:r>
          </w:p>
        </w:tc>
      </w:tr>
      <w:tr w14:paraId="2E282123">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3ABBB">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69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E0C1">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打造门西数字生活街区等一批创新产业地标，新增硅巷载体10万平方米</w:t>
            </w:r>
          </w:p>
        </w:tc>
      </w:tr>
      <w:tr w14:paraId="08D666A7">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AD546">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70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E20E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深化秦淮创新湾区建设，建设创新湾校友交流服务中心</w:t>
            </w:r>
          </w:p>
        </w:tc>
      </w:tr>
      <w:tr w14:paraId="60CF176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1330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71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965D">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推进全区科创载体一体化管理，科创载体孵化科技型中小企业突破</w:t>
            </w:r>
            <w:r>
              <w:rPr>
                <w:rStyle w:val="20"/>
                <w:rFonts w:eastAsia="宋体"/>
                <w:sz w:val="24"/>
                <w:szCs w:val="24"/>
              </w:rPr>
              <w:t>400</w:t>
            </w:r>
            <w:r>
              <w:rPr>
                <w:rFonts w:ascii="Times New Roman" w:hAnsi="Times New Roman" w:eastAsia="方正仿宋_GBK" w:cs="Times New Roman"/>
                <w:color w:val="000000"/>
                <w:sz w:val="24"/>
              </w:rPr>
              <w:t>家</w:t>
            </w:r>
          </w:p>
        </w:tc>
      </w:tr>
      <w:tr w14:paraId="74E75E17">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62D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72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D31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新增市级以上科创孵化载体</w:t>
            </w:r>
            <w:r>
              <w:rPr>
                <w:rStyle w:val="20"/>
                <w:rFonts w:eastAsia="宋体"/>
                <w:sz w:val="24"/>
                <w:szCs w:val="24"/>
              </w:rPr>
              <w:t>3</w:t>
            </w:r>
            <w:r>
              <w:rPr>
                <w:rFonts w:ascii="Times New Roman" w:hAnsi="Times New Roman" w:eastAsia="方正仿宋_GBK" w:cs="Times New Roman"/>
                <w:color w:val="000000"/>
                <w:sz w:val="24"/>
              </w:rPr>
              <w:t>家</w:t>
            </w:r>
          </w:p>
        </w:tc>
      </w:tr>
      <w:tr w14:paraId="324ECE8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58F68">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73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820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新增孵化器在孵企业</w:t>
            </w:r>
            <w:r>
              <w:rPr>
                <w:rStyle w:val="20"/>
                <w:rFonts w:eastAsia="宋体"/>
                <w:sz w:val="24"/>
                <w:szCs w:val="24"/>
              </w:rPr>
              <w:t>200</w:t>
            </w:r>
            <w:r>
              <w:rPr>
                <w:rFonts w:ascii="Times New Roman" w:hAnsi="Times New Roman" w:eastAsia="方正仿宋_GBK" w:cs="Times New Roman"/>
                <w:color w:val="000000"/>
                <w:sz w:val="24"/>
              </w:rPr>
              <w:t>家、毕业企业</w:t>
            </w:r>
            <w:r>
              <w:rPr>
                <w:rStyle w:val="20"/>
                <w:rFonts w:eastAsia="宋体"/>
                <w:sz w:val="24"/>
                <w:szCs w:val="24"/>
              </w:rPr>
              <w:t>15</w:t>
            </w:r>
            <w:r>
              <w:rPr>
                <w:rFonts w:ascii="Times New Roman" w:hAnsi="Times New Roman" w:eastAsia="方正仿宋_GBK" w:cs="Times New Roman"/>
                <w:color w:val="000000"/>
                <w:sz w:val="24"/>
              </w:rPr>
              <w:t>家</w:t>
            </w:r>
          </w:p>
        </w:tc>
      </w:tr>
      <w:tr w14:paraId="5977A069">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CEE5">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2</w:t>
            </w:r>
            <w:r>
              <w:rPr>
                <w:rFonts w:ascii="Times New Roman" w:hAnsi="Times New Roman" w:eastAsia="方正仿宋_GBK" w:cs="Times New Roman"/>
                <w:b/>
                <w:bCs/>
                <w:color w:val="000000"/>
                <w:sz w:val="24"/>
              </w:rPr>
              <w:t>、加快创新主体培育</w:t>
            </w:r>
          </w:p>
        </w:tc>
      </w:tr>
      <w:tr w14:paraId="42F69EBF">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DCC37">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74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91B6">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新认定培育独角兽、瞪羚企业</w:t>
            </w:r>
            <w:r>
              <w:rPr>
                <w:rStyle w:val="20"/>
                <w:rFonts w:eastAsia="宋体"/>
                <w:sz w:val="24"/>
                <w:szCs w:val="24"/>
              </w:rPr>
              <w:t>15</w:t>
            </w:r>
            <w:r>
              <w:rPr>
                <w:rFonts w:ascii="Times New Roman" w:hAnsi="Times New Roman" w:eastAsia="方正仿宋_GBK" w:cs="Times New Roman"/>
                <w:color w:val="000000"/>
                <w:sz w:val="24"/>
              </w:rPr>
              <w:t>家</w:t>
            </w:r>
          </w:p>
        </w:tc>
      </w:tr>
      <w:tr w14:paraId="32E27158">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AE47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75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607E">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引进培育省级以上专精特新</w:t>
            </w:r>
            <w:r>
              <w:rPr>
                <w:rStyle w:val="20"/>
                <w:rFonts w:eastAsia="宋体"/>
                <w:sz w:val="24"/>
                <w:szCs w:val="24"/>
              </w:rPr>
              <w:t>“</w:t>
            </w:r>
            <w:r>
              <w:rPr>
                <w:rFonts w:ascii="Times New Roman" w:hAnsi="Times New Roman" w:eastAsia="方正仿宋_GBK" w:cs="Times New Roman"/>
                <w:color w:val="000000"/>
                <w:sz w:val="24"/>
              </w:rPr>
              <w:t>小巨人</w:t>
            </w:r>
            <w:r>
              <w:rPr>
                <w:rStyle w:val="20"/>
                <w:rFonts w:eastAsia="宋体"/>
                <w:sz w:val="24"/>
                <w:szCs w:val="24"/>
              </w:rPr>
              <w:t>”</w:t>
            </w:r>
            <w:r>
              <w:rPr>
                <w:rFonts w:ascii="Times New Roman" w:hAnsi="Times New Roman" w:eastAsia="方正仿宋_GBK" w:cs="Times New Roman"/>
                <w:color w:val="000000"/>
                <w:sz w:val="24"/>
              </w:rPr>
              <w:t>企业</w:t>
            </w:r>
            <w:r>
              <w:rPr>
                <w:rStyle w:val="20"/>
                <w:rFonts w:eastAsia="宋体"/>
                <w:sz w:val="24"/>
                <w:szCs w:val="24"/>
              </w:rPr>
              <w:t>3</w:t>
            </w:r>
            <w:r>
              <w:rPr>
                <w:rFonts w:ascii="Times New Roman" w:hAnsi="Times New Roman" w:eastAsia="方正仿宋_GBK" w:cs="Times New Roman"/>
                <w:color w:val="000000"/>
                <w:sz w:val="24"/>
              </w:rPr>
              <w:t>家</w:t>
            </w:r>
          </w:p>
        </w:tc>
      </w:tr>
      <w:tr w14:paraId="0E647B90">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CFFE6">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76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DF30">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科技型中小企业达</w:t>
            </w:r>
            <w:r>
              <w:rPr>
                <w:rStyle w:val="20"/>
                <w:rFonts w:eastAsia="宋体"/>
                <w:sz w:val="24"/>
                <w:szCs w:val="24"/>
              </w:rPr>
              <w:t>1300</w:t>
            </w:r>
            <w:r>
              <w:rPr>
                <w:rFonts w:ascii="Times New Roman" w:hAnsi="Times New Roman" w:eastAsia="方正仿宋_GBK" w:cs="Times New Roman"/>
                <w:color w:val="000000"/>
                <w:sz w:val="24"/>
              </w:rPr>
              <w:t>家</w:t>
            </w:r>
          </w:p>
        </w:tc>
      </w:tr>
      <w:tr w14:paraId="57B2614C">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5D50">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7</w:t>
            </w:r>
            <w:r>
              <w:rPr>
                <w:rFonts w:hint="eastAsia" w:ascii="Times New Roman" w:hAnsi="Times New Roman" w:eastAsia="宋体" w:cs="Times New Roman"/>
                <w:color w:val="000000"/>
                <w:kern w:val="0"/>
                <w:sz w:val="24"/>
              </w:rPr>
              <w:t>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C04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技术合同成交额达</w:t>
            </w:r>
            <w:r>
              <w:rPr>
                <w:rStyle w:val="20"/>
                <w:rFonts w:eastAsia="宋体"/>
                <w:sz w:val="24"/>
                <w:szCs w:val="24"/>
              </w:rPr>
              <w:t>90</w:t>
            </w:r>
            <w:r>
              <w:rPr>
                <w:rFonts w:ascii="Times New Roman" w:hAnsi="Times New Roman" w:eastAsia="方正仿宋_GBK" w:cs="Times New Roman"/>
                <w:color w:val="000000"/>
                <w:sz w:val="24"/>
              </w:rPr>
              <w:t>亿元</w:t>
            </w:r>
          </w:p>
        </w:tc>
      </w:tr>
      <w:tr w14:paraId="4F37F913">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A2A8F">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kern w:val="0"/>
                <w:sz w:val="24"/>
              </w:rPr>
              <w:t>78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3F20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新增市级以上工程技术研究中心、企业技术中心、工程研究中心</w:t>
            </w:r>
            <w:r>
              <w:rPr>
                <w:rStyle w:val="20"/>
                <w:rFonts w:eastAsia="宋体"/>
                <w:sz w:val="24"/>
                <w:szCs w:val="24"/>
              </w:rPr>
              <w:t>5</w:t>
            </w:r>
            <w:r>
              <w:rPr>
                <w:rFonts w:ascii="Times New Roman" w:hAnsi="Times New Roman" w:eastAsia="方正仿宋_GBK" w:cs="Times New Roman"/>
                <w:color w:val="000000"/>
                <w:sz w:val="24"/>
              </w:rPr>
              <w:t>家</w:t>
            </w:r>
          </w:p>
        </w:tc>
      </w:tr>
      <w:tr w14:paraId="0BC31D4A">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00B06">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79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57A4">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推进国家知识产权强区建设，有效发明专利拥有量达1.18万件</w:t>
            </w:r>
          </w:p>
        </w:tc>
      </w:tr>
      <w:tr w14:paraId="3436D4B1">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8F8C8">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3</w:t>
            </w:r>
            <w:r>
              <w:rPr>
                <w:rFonts w:ascii="Times New Roman" w:hAnsi="Times New Roman" w:eastAsia="方正仿宋_GBK" w:cs="Times New Roman"/>
                <w:b/>
                <w:bCs/>
                <w:color w:val="000000"/>
                <w:sz w:val="24"/>
              </w:rPr>
              <w:t>、打造中心城区人才高地</w:t>
            </w:r>
          </w:p>
        </w:tc>
      </w:tr>
      <w:tr w14:paraId="433C122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D0D8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8</w:t>
            </w:r>
            <w:r>
              <w:rPr>
                <w:rFonts w:hint="eastAsia" w:ascii="Times New Roman" w:hAnsi="Times New Roman" w:eastAsia="宋体" w:cs="Times New Roman"/>
                <w:color w:val="000000"/>
                <w:sz w:val="24"/>
              </w:rPr>
              <w:t>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A26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建设区域博士后科研工作站联合体</w:t>
            </w:r>
            <w:r>
              <w:rPr>
                <w:rStyle w:val="20"/>
                <w:rFonts w:eastAsia="宋体"/>
                <w:sz w:val="24"/>
                <w:szCs w:val="24"/>
              </w:rPr>
              <w:t>“</w:t>
            </w:r>
            <w:r>
              <w:rPr>
                <w:rFonts w:ascii="Times New Roman" w:hAnsi="Times New Roman" w:eastAsia="方正仿宋_GBK" w:cs="Times New Roman"/>
                <w:color w:val="000000"/>
                <w:sz w:val="24"/>
              </w:rPr>
              <w:t>一库一中心</w:t>
            </w:r>
            <w:r>
              <w:rPr>
                <w:rStyle w:val="20"/>
                <w:rFonts w:eastAsia="宋体"/>
                <w:sz w:val="24"/>
                <w:szCs w:val="24"/>
              </w:rPr>
              <w:t>”</w:t>
            </w:r>
            <w:r>
              <w:rPr>
                <w:rStyle w:val="20"/>
                <w:rFonts w:hint="eastAsia" w:eastAsia="宋体"/>
                <w:sz w:val="24"/>
                <w:szCs w:val="24"/>
              </w:rPr>
              <w:t>，</w:t>
            </w:r>
            <w:r>
              <w:rPr>
                <w:rFonts w:hint="eastAsia" w:ascii="Times New Roman" w:hAnsi="Times New Roman" w:eastAsia="方正仿宋_GBK" w:cs="Times New Roman"/>
                <w:color w:val="000000"/>
                <w:sz w:val="24"/>
              </w:rPr>
              <w:t>新增留学回国人员就业创业533人</w:t>
            </w:r>
          </w:p>
        </w:tc>
      </w:tr>
      <w:tr w14:paraId="56729DD0">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6545D">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81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5DB0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拓宽海外引才渠道，发现培养高层次复合型人才，吸引集聚海外高层次人才</w:t>
            </w:r>
          </w:p>
        </w:tc>
      </w:tr>
      <w:tr w14:paraId="19AF0FA1">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94C92">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82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6F0E">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深化与驻区高校院所合作，搭建政产学研金合作平台</w:t>
            </w:r>
          </w:p>
        </w:tc>
      </w:tr>
      <w:tr w14:paraId="47276F12">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5C90">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83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3970">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编制赋权成果清单，支持开展科技成果</w:t>
            </w:r>
            <w:r>
              <w:rPr>
                <w:rStyle w:val="20"/>
                <w:rFonts w:eastAsia="宋体"/>
                <w:sz w:val="24"/>
                <w:szCs w:val="24"/>
              </w:rPr>
              <w:t>“</w:t>
            </w:r>
            <w:r>
              <w:rPr>
                <w:rFonts w:ascii="Times New Roman" w:hAnsi="Times New Roman" w:eastAsia="方正仿宋_GBK" w:cs="Times New Roman"/>
                <w:color w:val="000000"/>
                <w:sz w:val="24"/>
              </w:rPr>
              <w:t>先确权、后转化</w:t>
            </w:r>
            <w:r>
              <w:rPr>
                <w:rStyle w:val="20"/>
                <w:rFonts w:eastAsia="宋体"/>
                <w:sz w:val="24"/>
                <w:szCs w:val="24"/>
              </w:rPr>
              <w:t>”</w:t>
            </w:r>
            <w:r>
              <w:rPr>
                <w:rFonts w:ascii="Times New Roman" w:hAnsi="Times New Roman" w:eastAsia="方正仿宋_GBK" w:cs="Times New Roman"/>
                <w:color w:val="000000"/>
                <w:sz w:val="24"/>
              </w:rPr>
              <w:t>创新实践</w:t>
            </w:r>
          </w:p>
        </w:tc>
      </w:tr>
      <w:tr w14:paraId="46C1C52D">
        <w:tblPrEx>
          <w:tblCellMar>
            <w:top w:w="0" w:type="dxa"/>
            <w:left w:w="108" w:type="dxa"/>
            <w:bottom w:w="0" w:type="dxa"/>
            <w:right w:w="108" w:type="dxa"/>
          </w:tblCellMar>
        </w:tblPrEx>
        <w:trPr>
          <w:trHeight w:val="285"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B9CB2">
            <w:pPr>
              <w:widowControl/>
              <w:spacing w:line="360" w:lineRule="exact"/>
              <w:jc w:val="left"/>
              <w:textAlignment w:val="center"/>
              <w:rPr>
                <w:rFonts w:ascii="Times New Roman" w:hAnsi="Times New Roman" w:eastAsia="方正楷体_GBK" w:cs="Times New Roman"/>
                <w:color w:val="000000"/>
                <w:sz w:val="24"/>
              </w:rPr>
            </w:pPr>
            <w:r>
              <w:rPr>
                <w:rFonts w:ascii="Times New Roman" w:hAnsi="Times New Roman" w:eastAsia="方正楷体_GBK" w:cs="Times New Roman"/>
                <w:color w:val="000000"/>
                <w:kern w:val="0"/>
                <w:sz w:val="24"/>
              </w:rPr>
              <w:t>（四）坚持精细建管，打造宜居环境</w:t>
            </w:r>
          </w:p>
        </w:tc>
      </w:tr>
      <w:tr w14:paraId="3F2D50AE">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EDF70">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1</w:t>
            </w:r>
            <w:r>
              <w:rPr>
                <w:rFonts w:ascii="Times New Roman" w:hAnsi="Times New Roman" w:eastAsia="方正仿宋_GBK" w:cs="Times New Roman"/>
                <w:b/>
                <w:bCs/>
                <w:color w:val="000000"/>
                <w:sz w:val="24"/>
              </w:rPr>
              <w:t>、推动新城品质提升</w:t>
            </w:r>
          </w:p>
        </w:tc>
      </w:tr>
      <w:tr w14:paraId="289D56E2">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1F61">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8</w:t>
            </w:r>
            <w:r>
              <w:rPr>
                <w:rFonts w:hint="eastAsia" w:ascii="Times New Roman" w:hAnsi="Times New Roman" w:eastAsia="宋体" w:cs="Times New Roman"/>
                <w:color w:val="000000"/>
                <w:sz w:val="24"/>
              </w:rPr>
              <w:t>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92C0">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完成南部新城社区级公共设施规划方案及机场河、特色街巷沿线区域城市设计</w:t>
            </w:r>
          </w:p>
        </w:tc>
      </w:tr>
      <w:tr w14:paraId="5486CE0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4D0C1">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85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C39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推进国际路市政综合体、大明路东社区中心等社区综合服务设施</w:t>
            </w:r>
          </w:p>
        </w:tc>
      </w:tr>
      <w:tr w14:paraId="0504C73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E412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86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4E2D">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推进冶修一路等道路建设</w:t>
            </w:r>
          </w:p>
        </w:tc>
      </w:tr>
      <w:tr w14:paraId="13DFE1F6">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AE6BE">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87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4AB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完成机场跑道公园及地下空间方案设计，推进地下空间首期开工建设</w:t>
            </w:r>
          </w:p>
        </w:tc>
      </w:tr>
      <w:tr w14:paraId="5DA66A4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33A4">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88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3671">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校场一路公交场站综合体、全民健身中心等项目竣工</w:t>
            </w:r>
          </w:p>
        </w:tc>
      </w:tr>
      <w:tr w14:paraId="43B1139B">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743A">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2</w:t>
            </w:r>
            <w:r>
              <w:rPr>
                <w:rFonts w:ascii="Times New Roman" w:hAnsi="Times New Roman" w:eastAsia="方正仿宋_GBK" w:cs="Times New Roman"/>
                <w:b/>
                <w:bCs/>
                <w:color w:val="000000"/>
                <w:sz w:val="24"/>
              </w:rPr>
              <w:t>、深化老城保护更新</w:t>
            </w:r>
          </w:p>
        </w:tc>
      </w:tr>
      <w:tr w14:paraId="0B6B8969">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32A82">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89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ED1FA">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石榴新村</w:t>
            </w:r>
            <w:r>
              <w:rPr>
                <w:rStyle w:val="20"/>
                <w:rFonts w:eastAsia="宋体"/>
                <w:sz w:val="24"/>
                <w:szCs w:val="24"/>
              </w:rPr>
              <w:t>A</w:t>
            </w:r>
            <w:r>
              <w:rPr>
                <w:rFonts w:ascii="Times New Roman" w:hAnsi="Times New Roman" w:eastAsia="方正仿宋_GBK" w:cs="Times New Roman"/>
                <w:color w:val="000000"/>
                <w:sz w:val="24"/>
              </w:rPr>
              <w:t>地块主体结构封顶</w:t>
            </w:r>
          </w:p>
        </w:tc>
      </w:tr>
      <w:tr w14:paraId="7D1D161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85138">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90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16360">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荷花塘历史文化街区完成管廊实验段建设</w:t>
            </w:r>
            <w:r>
              <w:rPr>
                <w:rFonts w:hint="eastAsia" w:ascii="Times New Roman" w:hAnsi="Times New Roman" w:eastAsia="方正仿宋_GBK" w:cs="Times New Roman"/>
                <w:color w:val="000000"/>
                <w:sz w:val="24"/>
              </w:rPr>
              <w:t>，</w:t>
            </w:r>
            <w:r>
              <w:rPr>
                <w:rFonts w:ascii="Times New Roman" w:hAnsi="Times New Roman" w:eastAsia="方正仿宋_GBK" w:cs="Times New Roman"/>
                <w:color w:val="000000"/>
                <w:sz w:val="24"/>
              </w:rPr>
              <w:t>启动试点院落更新改造</w:t>
            </w:r>
          </w:p>
        </w:tc>
      </w:tr>
      <w:tr w14:paraId="145A6A23">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F2CB8">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91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519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启动小松涛巷片区保留建筑更新改造</w:t>
            </w:r>
          </w:p>
        </w:tc>
      </w:tr>
      <w:tr w14:paraId="3DD53D08">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23FE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92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DD1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实施小西湖花灯厂以南、快园等地块更新改造</w:t>
            </w:r>
          </w:p>
        </w:tc>
      </w:tr>
      <w:tr w14:paraId="53A1E6AF">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DE338">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93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88B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复兴巷</w:t>
            </w:r>
            <w:r>
              <w:rPr>
                <w:rStyle w:val="20"/>
                <w:rFonts w:eastAsia="宋体"/>
                <w:sz w:val="24"/>
                <w:szCs w:val="24"/>
              </w:rPr>
              <w:t>5</w:t>
            </w:r>
            <w:r>
              <w:rPr>
                <w:rFonts w:ascii="Times New Roman" w:hAnsi="Times New Roman" w:eastAsia="方正仿宋_GBK" w:cs="Times New Roman"/>
                <w:color w:val="000000"/>
                <w:sz w:val="24"/>
              </w:rPr>
              <w:t>号更新项目部分完工</w:t>
            </w:r>
          </w:p>
        </w:tc>
      </w:tr>
      <w:tr w14:paraId="4C984188">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3B8C0">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94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5F91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实施复兴巷、文思巷、庆盛园路等道路整修</w:t>
            </w:r>
          </w:p>
        </w:tc>
      </w:tr>
      <w:tr w14:paraId="33E84CC3">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5F5FC">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95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07C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推进李府街拓宽改造工程</w:t>
            </w:r>
          </w:p>
        </w:tc>
      </w:tr>
      <w:tr w14:paraId="69B14878">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EDC37">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96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C88D">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实施仙鹤里、海福巷</w:t>
            </w:r>
            <w:r>
              <w:rPr>
                <w:rStyle w:val="20"/>
                <w:rFonts w:eastAsia="宋体"/>
                <w:sz w:val="24"/>
                <w:szCs w:val="24"/>
              </w:rPr>
              <w:t>20</w:t>
            </w:r>
            <w:r>
              <w:rPr>
                <w:rFonts w:ascii="Times New Roman" w:hAnsi="Times New Roman" w:eastAsia="方正仿宋_GBK" w:cs="Times New Roman"/>
                <w:color w:val="000000"/>
                <w:sz w:val="24"/>
              </w:rPr>
              <w:t>号等</w:t>
            </w:r>
            <w:r>
              <w:rPr>
                <w:rStyle w:val="20"/>
                <w:rFonts w:eastAsia="宋体"/>
                <w:sz w:val="24"/>
                <w:szCs w:val="24"/>
              </w:rPr>
              <w:t>18</w:t>
            </w:r>
            <w:r>
              <w:rPr>
                <w:rFonts w:ascii="Times New Roman" w:hAnsi="Times New Roman" w:eastAsia="方正仿宋_GBK" w:cs="Times New Roman"/>
                <w:color w:val="000000"/>
                <w:sz w:val="24"/>
              </w:rPr>
              <w:t>个老旧小区改造</w:t>
            </w:r>
          </w:p>
        </w:tc>
      </w:tr>
      <w:tr w14:paraId="514C6B5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CBCDE">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97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ABB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实施旭光里</w:t>
            </w:r>
            <w:r>
              <w:rPr>
                <w:rStyle w:val="20"/>
                <w:rFonts w:eastAsia="宋体"/>
                <w:sz w:val="24"/>
                <w:szCs w:val="24"/>
              </w:rPr>
              <w:t>2</w:t>
            </w:r>
            <w:r>
              <w:rPr>
                <w:rFonts w:ascii="Times New Roman" w:hAnsi="Times New Roman" w:eastAsia="方正仿宋_GBK" w:cs="Times New Roman"/>
                <w:color w:val="000000"/>
                <w:sz w:val="24"/>
              </w:rPr>
              <w:t>号等</w:t>
            </w:r>
            <w:r>
              <w:rPr>
                <w:rStyle w:val="20"/>
                <w:rFonts w:eastAsia="宋体"/>
                <w:sz w:val="24"/>
                <w:szCs w:val="24"/>
              </w:rPr>
              <w:t>17</w:t>
            </w:r>
            <w:r>
              <w:rPr>
                <w:rFonts w:ascii="Times New Roman" w:hAnsi="Times New Roman" w:eastAsia="方正仿宋_GBK" w:cs="Times New Roman"/>
                <w:color w:val="000000"/>
                <w:sz w:val="24"/>
              </w:rPr>
              <w:t>幢危房维修加固消险</w:t>
            </w:r>
          </w:p>
        </w:tc>
      </w:tr>
      <w:tr w14:paraId="4DCF351C">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AE15">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98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7201">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完成科举博物馆二期考古报批，推进地下工程施工</w:t>
            </w:r>
          </w:p>
        </w:tc>
      </w:tr>
      <w:tr w14:paraId="023525E2">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95918">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3</w:t>
            </w:r>
            <w:r>
              <w:rPr>
                <w:rFonts w:ascii="Times New Roman" w:hAnsi="Times New Roman" w:eastAsia="方正仿宋_GBK" w:cs="Times New Roman"/>
                <w:b/>
                <w:bCs/>
                <w:color w:val="000000"/>
                <w:sz w:val="24"/>
              </w:rPr>
              <w:t>、加强城市精细管理</w:t>
            </w:r>
          </w:p>
        </w:tc>
      </w:tr>
      <w:tr w14:paraId="48DE5EBC">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47706">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99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5F0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持续深化</w:t>
            </w:r>
            <w:r>
              <w:rPr>
                <w:rStyle w:val="20"/>
                <w:rFonts w:eastAsia="宋体"/>
                <w:sz w:val="24"/>
                <w:szCs w:val="24"/>
              </w:rPr>
              <w:t>“</w:t>
            </w:r>
            <w:r>
              <w:rPr>
                <w:rFonts w:ascii="Times New Roman" w:hAnsi="Times New Roman" w:eastAsia="方正仿宋_GBK" w:cs="Times New Roman"/>
                <w:color w:val="000000"/>
                <w:sz w:val="24"/>
              </w:rPr>
              <w:t>屯兵街面</w:t>
            </w:r>
            <w:r>
              <w:rPr>
                <w:rStyle w:val="20"/>
                <w:rFonts w:eastAsia="宋体"/>
                <w:sz w:val="24"/>
                <w:szCs w:val="24"/>
              </w:rPr>
              <w:t>”</w:t>
            </w:r>
            <w:r>
              <w:rPr>
                <w:rFonts w:ascii="Times New Roman" w:hAnsi="Times New Roman" w:eastAsia="方正仿宋_GBK" w:cs="Times New Roman"/>
                <w:color w:val="000000"/>
                <w:sz w:val="24"/>
              </w:rPr>
              <w:t>工作，切实提高背街小巷秩序水平</w:t>
            </w:r>
          </w:p>
        </w:tc>
      </w:tr>
      <w:tr w14:paraId="5CD2CC0E">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427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10</w:t>
            </w:r>
            <w:r>
              <w:rPr>
                <w:rFonts w:hint="eastAsia" w:ascii="Times New Roman" w:hAnsi="Times New Roman" w:eastAsia="宋体" w:cs="Times New Roman"/>
                <w:color w:val="000000"/>
                <w:sz w:val="24"/>
              </w:rPr>
              <w:t>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C6E0">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推进老旧小区物业高质量全覆盖，新增</w:t>
            </w:r>
            <w:r>
              <w:rPr>
                <w:rStyle w:val="20"/>
                <w:rFonts w:eastAsia="宋体"/>
                <w:sz w:val="24"/>
                <w:szCs w:val="24"/>
              </w:rPr>
              <w:t>“</w:t>
            </w:r>
            <w:r>
              <w:rPr>
                <w:rFonts w:ascii="Times New Roman" w:hAnsi="Times New Roman" w:eastAsia="方正仿宋_GBK" w:cs="Times New Roman"/>
                <w:color w:val="000000"/>
                <w:sz w:val="24"/>
              </w:rPr>
              <w:t>红色物业</w:t>
            </w:r>
            <w:r>
              <w:rPr>
                <w:rStyle w:val="20"/>
                <w:rFonts w:eastAsia="宋体"/>
                <w:sz w:val="24"/>
                <w:szCs w:val="24"/>
              </w:rPr>
              <w:t>”</w:t>
            </w:r>
            <w:r>
              <w:rPr>
                <w:rFonts w:ascii="Times New Roman" w:hAnsi="Times New Roman" w:eastAsia="方正仿宋_GBK" w:cs="Times New Roman"/>
                <w:color w:val="000000"/>
                <w:sz w:val="24"/>
              </w:rPr>
              <w:t>市级以上示范点</w:t>
            </w:r>
            <w:r>
              <w:rPr>
                <w:rStyle w:val="20"/>
                <w:rFonts w:eastAsia="宋体"/>
                <w:sz w:val="24"/>
                <w:szCs w:val="24"/>
              </w:rPr>
              <w:t>6</w:t>
            </w:r>
            <w:r>
              <w:rPr>
                <w:rFonts w:ascii="Times New Roman" w:hAnsi="Times New Roman" w:eastAsia="方正仿宋_GBK" w:cs="Times New Roman"/>
                <w:color w:val="000000"/>
                <w:sz w:val="24"/>
              </w:rPr>
              <w:t>个</w:t>
            </w:r>
          </w:p>
        </w:tc>
      </w:tr>
      <w:tr w14:paraId="47FE05B4">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A617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101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519E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持续推进生活垃圾分类，出新改造龙苑垃圾中转站</w:t>
            </w:r>
          </w:p>
        </w:tc>
      </w:tr>
      <w:tr w14:paraId="2E7DCD73">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43AFE">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102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08FD3">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提高垃圾资源化利用率，减少进焚烧场生活垃圾总量</w:t>
            </w:r>
          </w:p>
        </w:tc>
      </w:tr>
      <w:tr w14:paraId="6B7D3E06">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2B35F">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103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2C04">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推进星瀚路等社会公共停车场建设</w:t>
            </w:r>
          </w:p>
        </w:tc>
      </w:tr>
      <w:tr w14:paraId="6A0AD64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EAE12">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104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8726">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全区新增各类泊位</w:t>
            </w:r>
            <w:r>
              <w:rPr>
                <w:rStyle w:val="20"/>
                <w:rFonts w:eastAsia="宋体"/>
                <w:sz w:val="24"/>
                <w:szCs w:val="24"/>
              </w:rPr>
              <w:t>2100</w:t>
            </w:r>
            <w:r>
              <w:rPr>
                <w:rFonts w:ascii="Times New Roman" w:hAnsi="Times New Roman" w:eastAsia="方正仿宋_GBK" w:cs="Times New Roman"/>
                <w:color w:val="000000"/>
                <w:sz w:val="24"/>
              </w:rPr>
              <w:t>个</w:t>
            </w:r>
          </w:p>
        </w:tc>
      </w:tr>
      <w:tr w14:paraId="6280888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E1FA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105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0EE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推进征收安置，实施棚户区和危旧房改造工程</w:t>
            </w:r>
          </w:p>
        </w:tc>
      </w:tr>
      <w:tr w14:paraId="781DAB74">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7A449">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106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0FC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加大住房保障力度，推进共有产权房建设，</w:t>
            </w:r>
            <w:r>
              <w:rPr>
                <w:rFonts w:hint="eastAsia" w:ascii="Times New Roman" w:hAnsi="Times New Roman" w:eastAsia="方正仿宋_GBK" w:cs="Times New Roman"/>
                <w:color w:val="000000"/>
                <w:sz w:val="24"/>
              </w:rPr>
              <w:t>建成</w:t>
            </w:r>
            <w:r>
              <w:rPr>
                <w:rFonts w:ascii="Times New Roman" w:hAnsi="Times New Roman" w:eastAsia="方正仿宋_GBK" w:cs="Times New Roman"/>
                <w:color w:val="000000"/>
                <w:sz w:val="24"/>
              </w:rPr>
              <w:t>保障房</w:t>
            </w:r>
            <w:r>
              <w:rPr>
                <w:rStyle w:val="20"/>
                <w:rFonts w:eastAsia="宋体"/>
                <w:sz w:val="24"/>
                <w:szCs w:val="24"/>
              </w:rPr>
              <w:t>68</w:t>
            </w:r>
            <w:r>
              <w:rPr>
                <w:rFonts w:ascii="Times New Roman" w:hAnsi="Times New Roman" w:eastAsia="方正仿宋_GBK" w:cs="Times New Roman"/>
                <w:color w:val="000000"/>
                <w:sz w:val="24"/>
              </w:rPr>
              <w:t>万平方米</w:t>
            </w:r>
          </w:p>
        </w:tc>
      </w:tr>
      <w:tr w14:paraId="6E6DB6E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871A0">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107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065E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稳步推进桥梁定期检测，开展主干道行道树安全治理</w:t>
            </w:r>
          </w:p>
        </w:tc>
      </w:tr>
      <w:tr w14:paraId="2EA27B57">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3E39">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4</w:t>
            </w:r>
            <w:r>
              <w:rPr>
                <w:rFonts w:ascii="Times New Roman" w:hAnsi="Times New Roman" w:eastAsia="方正仿宋_GBK" w:cs="Times New Roman"/>
                <w:b/>
                <w:bCs/>
                <w:color w:val="000000"/>
                <w:sz w:val="24"/>
              </w:rPr>
              <w:t>、提升生态环境品质</w:t>
            </w:r>
          </w:p>
        </w:tc>
      </w:tr>
      <w:tr w14:paraId="14D717F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57DE">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108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AE0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实施红花河、十字河生态岸线整治</w:t>
            </w:r>
          </w:p>
        </w:tc>
      </w:tr>
      <w:tr w14:paraId="11254A99">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20F11">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109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694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实施观门口、四方新村等积淹水片区整治</w:t>
            </w:r>
          </w:p>
        </w:tc>
      </w:tr>
      <w:tr w14:paraId="230D5F8B">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716D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11</w:t>
            </w:r>
            <w:r>
              <w:rPr>
                <w:rFonts w:hint="eastAsia" w:ascii="Times New Roman" w:hAnsi="Times New Roman" w:eastAsia="宋体" w:cs="Times New Roman"/>
                <w:color w:val="000000"/>
                <w:sz w:val="24"/>
              </w:rPr>
              <w:t>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D0F6">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清疏修缮内秦淮河东段</w:t>
            </w:r>
            <w:r>
              <w:rPr>
                <w:rStyle w:val="20"/>
                <w:rFonts w:eastAsia="宋体"/>
                <w:sz w:val="24"/>
                <w:szCs w:val="24"/>
              </w:rPr>
              <w:t>22</w:t>
            </w:r>
            <w:r>
              <w:rPr>
                <w:rFonts w:ascii="Times New Roman" w:hAnsi="Times New Roman" w:eastAsia="方正仿宋_GBK" w:cs="Times New Roman"/>
                <w:color w:val="000000"/>
                <w:sz w:val="24"/>
              </w:rPr>
              <w:t>个片区雨污水管网，建设申家巷、棉鞋营等污水管</w:t>
            </w:r>
          </w:p>
        </w:tc>
      </w:tr>
      <w:tr w14:paraId="43CAADD4">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5114B">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111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FE04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实施燕西泵站改造</w:t>
            </w:r>
          </w:p>
        </w:tc>
      </w:tr>
      <w:tr w14:paraId="372DD560">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B8FC7">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112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02A03">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全力推进运粮河、</w:t>
            </w:r>
            <w:r>
              <w:rPr>
                <w:rFonts w:hint="eastAsia" w:ascii="Times New Roman" w:hAnsi="Times New Roman" w:eastAsia="方正仿宋_GBK" w:cs="Times New Roman"/>
                <w:color w:val="000000"/>
                <w:sz w:val="24"/>
              </w:rPr>
              <w:t>响水河</w:t>
            </w:r>
            <w:r>
              <w:rPr>
                <w:rFonts w:ascii="Times New Roman" w:hAnsi="Times New Roman" w:eastAsia="方正仿宋_GBK" w:cs="Times New Roman"/>
                <w:color w:val="000000"/>
                <w:sz w:val="24"/>
              </w:rPr>
              <w:t>等</w:t>
            </w:r>
            <w:r>
              <w:rPr>
                <w:rStyle w:val="20"/>
                <w:rFonts w:eastAsia="宋体"/>
                <w:sz w:val="24"/>
                <w:szCs w:val="24"/>
              </w:rPr>
              <w:t>7</w:t>
            </w:r>
            <w:r>
              <w:rPr>
                <w:rFonts w:ascii="Times New Roman" w:hAnsi="Times New Roman" w:eastAsia="方正仿宋_GBK" w:cs="Times New Roman"/>
                <w:color w:val="000000"/>
                <w:sz w:val="24"/>
              </w:rPr>
              <w:t>条幸福河湖建设</w:t>
            </w:r>
          </w:p>
        </w:tc>
      </w:tr>
      <w:tr w14:paraId="55BD67A6">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151A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113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EBCD">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完成头条巷、蓝旗街</w:t>
            </w:r>
            <w:r>
              <w:rPr>
                <w:rStyle w:val="20"/>
                <w:rFonts w:eastAsia="宋体"/>
                <w:sz w:val="24"/>
                <w:szCs w:val="24"/>
              </w:rPr>
              <w:t>2</w:t>
            </w:r>
            <w:r>
              <w:rPr>
                <w:rFonts w:ascii="Times New Roman" w:hAnsi="Times New Roman" w:eastAsia="方正仿宋_GBK" w:cs="Times New Roman"/>
                <w:color w:val="000000"/>
                <w:sz w:val="24"/>
              </w:rPr>
              <w:t>个道路综合整治</w:t>
            </w:r>
          </w:p>
        </w:tc>
      </w:tr>
      <w:tr w14:paraId="74D7BA7D">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07403">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114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4A3E0">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推进实施朝天宫周边道路环境综合整治</w:t>
            </w:r>
          </w:p>
        </w:tc>
      </w:tr>
      <w:tr w14:paraId="30F47C8A">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AE45C">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115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A60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推进马府西街等</w:t>
            </w:r>
            <w:r>
              <w:rPr>
                <w:rStyle w:val="20"/>
                <w:rFonts w:eastAsia="宋体"/>
                <w:sz w:val="24"/>
                <w:szCs w:val="24"/>
              </w:rPr>
              <w:t>14</w:t>
            </w:r>
            <w:r>
              <w:rPr>
                <w:rFonts w:ascii="Times New Roman" w:hAnsi="Times New Roman" w:eastAsia="方正仿宋_GBK" w:cs="Times New Roman"/>
                <w:color w:val="000000"/>
                <w:sz w:val="24"/>
              </w:rPr>
              <w:t>条街巷道路大修</w:t>
            </w:r>
          </w:p>
        </w:tc>
      </w:tr>
      <w:tr w14:paraId="3C1FB117">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991F">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116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A19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建设童卫路、鑫运路</w:t>
            </w:r>
            <w:r>
              <w:rPr>
                <w:rStyle w:val="20"/>
                <w:rFonts w:eastAsia="宋体"/>
                <w:sz w:val="24"/>
                <w:szCs w:val="24"/>
              </w:rPr>
              <w:t>2</w:t>
            </w:r>
            <w:r>
              <w:rPr>
                <w:rFonts w:ascii="Times New Roman" w:hAnsi="Times New Roman" w:eastAsia="方正仿宋_GBK" w:cs="Times New Roman"/>
                <w:color w:val="000000"/>
                <w:sz w:val="24"/>
              </w:rPr>
              <w:t>处口袋公园建设</w:t>
            </w:r>
          </w:p>
        </w:tc>
      </w:tr>
      <w:tr w14:paraId="4871E005">
        <w:tblPrEx>
          <w:tblCellMar>
            <w:top w:w="0" w:type="dxa"/>
            <w:left w:w="108" w:type="dxa"/>
            <w:bottom w:w="0" w:type="dxa"/>
            <w:right w:w="108" w:type="dxa"/>
          </w:tblCellMar>
        </w:tblPrEx>
        <w:trPr>
          <w:trHeight w:val="285"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37F83">
            <w:pPr>
              <w:widowControl/>
              <w:spacing w:line="360" w:lineRule="exact"/>
              <w:jc w:val="left"/>
              <w:textAlignment w:val="center"/>
              <w:rPr>
                <w:rFonts w:ascii="Times New Roman" w:hAnsi="Times New Roman" w:eastAsia="方正楷体_GBK" w:cs="Times New Roman"/>
                <w:color w:val="000000"/>
                <w:sz w:val="24"/>
              </w:rPr>
            </w:pPr>
            <w:r>
              <w:rPr>
                <w:rFonts w:ascii="Times New Roman" w:hAnsi="Times New Roman" w:eastAsia="方正楷体_GBK" w:cs="Times New Roman"/>
                <w:color w:val="000000"/>
                <w:kern w:val="0"/>
                <w:sz w:val="24"/>
              </w:rPr>
              <w:t>（五）着力民生改善，提高幸福指数</w:t>
            </w:r>
          </w:p>
        </w:tc>
      </w:tr>
      <w:tr w14:paraId="537020DF">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ABA76">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1</w:t>
            </w:r>
            <w:r>
              <w:rPr>
                <w:rFonts w:ascii="Times New Roman" w:hAnsi="Times New Roman" w:eastAsia="方正仿宋_GBK" w:cs="Times New Roman"/>
                <w:b/>
                <w:bCs/>
                <w:color w:val="000000"/>
                <w:sz w:val="24"/>
              </w:rPr>
              <w:t>、增强就业创业保障</w:t>
            </w:r>
          </w:p>
        </w:tc>
      </w:tr>
      <w:tr w14:paraId="05E7F30D">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DC80B">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117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DE4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落实就业优先战略，加大创业带动就业支持力度，开展招聘活动</w:t>
            </w:r>
            <w:r>
              <w:rPr>
                <w:rStyle w:val="20"/>
                <w:rFonts w:eastAsia="宋体"/>
                <w:sz w:val="24"/>
                <w:szCs w:val="24"/>
              </w:rPr>
              <w:t>200</w:t>
            </w:r>
            <w:r>
              <w:rPr>
                <w:rFonts w:ascii="Times New Roman" w:hAnsi="Times New Roman" w:eastAsia="方正仿宋_GBK" w:cs="Times New Roman"/>
                <w:color w:val="000000"/>
                <w:sz w:val="24"/>
              </w:rPr>
              <w:t>场</w:t>
            </w:r>
          </w:p>
        </w:tc>
      </w:tr>
      <w:tr w14:paraId="1D47E47C">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6880E">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118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5016">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引领大学生创业</w:t>
            </w:r>
            <w:r>
              <w:rPr>
                <w:rStyle w:val="20"/>
                <w:rFonts w:eastAsia="宋体"/>
                <w:sz w:val="24"/>
                <w:szCs w:val="24"/>
              </w:rPr>
              <w:t>600</w:t>
            </w:r>
            <w:r>
              <w:rPr>
                <w:rFonts w:ascii="Times New Roman" w:hAnsi="Times New Roman" w:eastAsia="方正仿宋_GBK" w:cs="Times New Roman"/>
                <w:color w:val="000000"/>
                <w:sz w:val="24"/>
              </w:rPr>
              <w:t>人，发放高校毕业生租房、面试、开业补贴</w:t>
            </w:r>
          </w:p>
        </w:tc>
      </w:tr>
      <w:tr w14:paraId="48AF2FBA">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2C52C">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w:t>
            </w:r>
            <w:r>
              <w:rPr>
                <w:rFonts w:hint="eastAsia" w:ascii="Times New Roman" w:hAnsi="Times New Roman" w:eastAsia="宋体" w:cs="Times New Roman"/>
                <w:color w:val="000000"/>
                <w:sz w:val="24"/>
              </w:rPr>
              <w:t>19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972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筹建省级人力资源产业园，搭建秦淮特色人力资源服务业综合服务云平台</w:t>
            </w:r>
          </w:p>
        </w:tc>
      </w:tr>
      <w:tr w14:paraId="3D14AE2D">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4D076">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120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D47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创建</w:t>
            </w:r>
            <w:r>
              <w:rPr>
                <w:rStyle w:val="20"/>
                <w:rFonts w:eastAsia="宋体"/>
                <w:sz w:val="24"/>
                <w:szCs w:val="24"/>
              </w:rPr>
              <w:t>“15</w:t>
            </w:r>
            <w:r>
              <w:rPr>
                <w:rFonts w:ascii="Times New Roman" w:hAnsi="Times New Roman" w:eastAsia="方正仿宋_GBK" w:cs="Times New Roman"/>
                <w:color w:val="000000"/>
                <w:sz w:val="24"/>
              </w:rPr>
              <w:t>分钟医保服务圈</w:t>
            </w:r>
            <w:r>
              <w:rPr>
                <w:rStyle w:val="20"/>
                <w:rFonts w:eastAsia="宋体"/>
                <w:sz w:val="24"/>
                <w:szCs w:val="24"/>
              </w:rPr>
              <w:t>”</w:t>
            </w:r>
          </w:p>
        </w:tc>
      </w:tr>
      <w:tr w14:paraId="0B4AACBA">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E5167">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121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AC7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新增大学生就业参保</w:t>
            </w:r>
            <w:r>
              <w:rPr>
                <w:rStyle w:val="20"/>
                <w:rFonts w:eastAsia="宋体"/>
                <w:sz w:val="24"/>
                <w:szCs w:val="24"/>
              </w:rPr>
              <w:t>68500</w:t>
            </w:r>
            <w:r>
              <w:rPr>
                <w:rFonts w:ascii="Times New Roman" w:hAnsi="Times New Roman" w:eastAsia="方正仿宋_GBK" w:cs="Times New Roman"/>
                <w:color w:val="000000"/>
                <w:sz w:val="24"/>
              </w:rPr>
              <w:t>人</w:t>
            </w:r>
          </w:p>
        </w:tc>
      </w:tr>
      <w:tr w14:paraId="67DD7D28">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2C47">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122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9F93">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坚持终身职业技能培训，补贴性职业技能培训人数</w:t>
            </w:r>
            <w:r>
              <w:rPr>
                <w:rStyle w:val="20"/>
                <w:rFonts w:eastAsia="宋体"/>
                <w:sz w:val="24"/>
                <w:szCs w:val="24"/>
              </w:rPr>
              <w:t>9000</w:t>
            </w:r>
            <w:r>
              <w:rPr>
                <w:rFonts w:ascii="Times New Roman" w:hAnsi="Times New Roman" w:eastAsia="方正仿宋_GBK" w:cs="Times New Roman"/>
                <w:color w:val="000000"/>
                <w:sz w:val="24"/>
              </w:rPr>
              <w:t>人次</w:t>
            </w:r>
          </w:p>
        </w:tc>
      </w:tr>
      <w:tr w14:paraId="088A794F">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24D0">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123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D24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新增就业困难人员就业</w:t>
            </w:r>
            <w:r>
              <w:rPr>
                <w:rStyle w:val="20"/>
                <w:rFonts w:eastAsia="宋体"/>
                <w:sz w:val="24"/>
                <w:szCs w:val="24"/>
              </w:rPr>
              <w:t>2100</w:t>
            </w:r>
            <w:r>
              <w:rPr>
                <w:rFonts w:ascii="Times New Roman" w:hAnsi="Times New Roman" w:eastAsia="方正仿宋_GBK" w:cs="Times New Roman"/>
                <w:color w:val="000000"/>
                <w:sz w:val="24"/>
              </w:rPr>
              <w:t>人</w:t>
            </w:r>
          </w:p>
        </w:tc>
      </w:tr>
      <w:tr w14:paraId="70F2288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508D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124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30EC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公益性岗位安置就业困难人员人数</w:t>
            </w:r>
            <w:r>
              <w:rPr>
                <w:rStyle w:val="20"/>
                <w:rFonts w:eastAsia="宋体"/>
                <w:sz w:val="24"/>
                <w:szCs w:val="24"/>
              </w:rPr>
              <w:t>40</w:t>
            </w:r>
            <w:r>
              <w:rPr>
                <w:rFonts w:ascii="Times New Roman" w:hAnsi="Times New Roman" w:eastAsia="方正仿宋_GBK" w:cs="Times New Roman"/>
                <w:color w:val="000000"/>
                <w:sz w:val="24"/>
              </w:rPr>
              <w:t>人</w:t>
            </w:r>
          </w:p>
        </w:tc>
      </w:tr>
      <w:tr w14:paraId="3F655681">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C638B">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125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D7CF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安置残疾人就业</w:t>
            </w:r>
            <w:r>
              <w:rPr>
                <w:rStyle w:val="20"/>
                <w:rFonts w:eastAsia="宋体"/>
                <w:sz w:val="24"/>
                <w:szCs w:val="24"/>
              </w:rPr>
              <w:t>60</w:t>
            </w:r>
            <w:r>
              <w:rPr>
                <w:rFonts w:ascii="Times New Roman" w:hAnsi="Times New Roman" w:eastAsia="方正仿宋_GBK" w:cs="Times New Roman"/>
                <w:color w:val="000000"/>
                <w:sz w:val="24"/>
              </w:rPr>
              <w:t>人</w:t>
            </w:r>
          </w:p>
        </w:tc>
      </w:tr>
      <w:tr w14:paraId="071BD020">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9A07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126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EC50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确保有就业愿望的困难人员</w:t>
            </w:r>
            <w:r>
              <w:rPr>
                <w:rStyle w:val="20"/>
                <w:rFonts w:eastAsia="宋体"/>
                <w:sz w:val="24"/>
                <w:szCs w:val="24"/>
              </w:rPr>
              <w:t>100%</w:t>
            </w:r>
            <w:r>
              <w:rPr>
                <w:rFonts w:ascii="Times New Roman" w:hAnsi="Times New Roman" w:eastAsia="方正仿宋_GBK" w:cs="Times New Roman"/>
                <w:color w:val="000000"/>
                <w:sz w:val="24"/>
              </w:rPr>
              <w:t>就业</w:t>
            </w:r>
          </w:p>
        </w:tc>
      </w:tr>
      <w:tr w14:paraId="51BF4468">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EC78E">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127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FC2A">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发挥</w:t>
            </w:r>
            <w:r>
              <w:rPr>
                <w:rStyle w:val="20"/>
                <w:rFonts w:eastAsia="宋体"/>
                <w:sz w:val="24"/>
                <w:szCs w:val="24"/>
              </w:rPr>
              <w:t>“</w:t>
            </w:r>
            <w:r>
              <w:rPr>
                <w:rFonts w:ascii="Times New Roman" w:hAnsi="Times New Roman" w:eastAsia="方正仿宋_GBK" w:cs="Times New Roman"/>
                <w:color w:val="000000"/>
                <w:sz w:val="24"/>
              </w:rPr>
              <w:t>五位一体</w:t>
            </w:r>
            <w:r>
              <w:rPr>
                <w:rStyle w:val="20"/>
                <w:rFonts w:eastAsia="宋体"/>
                <w:sz w:val="24"/>
                <w:szCs w:val="24"/>
              </w:rPr>
              <w:t>”</w:t>
            </w:r>
            <w:r>
              <w:rPr>
                <w:rFonts w:ascii="Times New Roman" w:hAnsi="Times New Roman" w:eastAsia="方正仿宋_GBK" w:cs="Times New Roman"/>
                <w:color w:val="000000"/>
                <w:sz w:val="24"/>
              </w:rPr>
              <w:t>联合调处中心职能，完善劳动关系矛盾纠纷预防调处化解机制</w:t>
            </w:r>
          </w:p>
        </w:tc>
      </w:tr>
      <w:tr w14:paraId="5B356A6B">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3DB67">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2</w:t>
            </w:r>
            <w:r>
              <w:rPr>
                <w:rFonts w:ascii="Times New Roman" w:hAnsi="Times New Roman" w:eastAsia="方正仿宋_GBK" w:cs="Times New Roman"/>
                <w:b/>
                <w:bCs/>
                <w:color w:val="000000"/>
                <w:sz w:val="24"/>
              </w:rPr>
              <w:t>、完善公共服务配套</w:t>
            </w:r>
          </w:p>
        </w:tc>
      </w:tr>
      <w:tr w14:paraId="4EA509F6">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E7C44">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128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CD7BE">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实施南京航空航天大学附属高级中学、文枢初中等</w:t>
            </w:r>
            <w:r>
              <w:rPr>
                <w:rStyle w:val="20"/>
                <w:rFonts w:eastAsia="宋体"/>
                <w:sz w:val="24"/>
                <w:szCs w:val="24"/>
              </w:rPr>
              <w:t>22</w:t>
            </w:r>
            <w:r>
              <w:rPr>
                <w:rFonts w:ascii="Times New Roman" w:hAnsi="Times New Roman" w:eastAsia="方正仿宋_GBK" w:cs="Times New Roman"/>
                <w:color w:val="000000"/>
                <w:sz w:val="24"/>
              </w:rPr>
              <w:t>个老城老校更新改造项目</w:t>
            </w:r>
          </w:p>
        </w:tc>
      </w:tr>
      <w:tr w14:paraId="488ACDD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3319">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129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56C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推进普天小学、富华路学校等项目建设</w:t>
            </w:r>
          </w:p>
        </w:tc>
      </w:tr>
      <w:tr w14:paraId="02E7EA19">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F53D6">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13</w:t>
            </w:r>
            <w:r>
              <w:rPr>
                <w:rFonts w:hint="eastAsia" w:ascii="Times New Roman" w:hAnsi="Times New Roman" w:eastAsia="宋体" w:cs="Times New Roman"/>
                <w:color w:val="000000"/>
                <w:sz w:val="24"/>
              </w:rPr>
              <w:t>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BC3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进一步落实优质教育资源引培工程，深化与南外、南师附中的战略合作</w:t>
            </w:r>
          </w:p>
        </w:tc>
      </w:tr>
      <w:tr w14:paraId="5C400393">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789E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131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001A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w:t>
            </w:r>
            <w:r>
              <w:rPr>
                <w:rFonts w:ascii="Times New Roman" w:hAnsi="Times New Roman" w:eastAsia="方正仿宋_GBK" w:cs="Times New Roman"/>
                <w:color w:val="000000"/>
                <w:sz w:val="24"/>
              </w:rPr>
              <w:t>一校一策</w:t>
            </w:r>
            <w:r>
              <w:rPr>
                <w:rStyle w:val="20"/>
                <w:rFonts w:eastAsia="宋体"/>
                <w:sz w:val="24"/>
                <w:szCs w:val="24"/>
              </w:rPr>
              <w:t>”</w:t>
            </w:r>
            <w:r>
              <w:rPr>
                <w:rFonts w:ascii="Times New Roman" w:hAnsi="Times New Roman" w:eastAsia="方正仿宋_GBK" w:cs="Times New Roman"/>
                <w:color w:val="000000"/>
                <w:sz w:val="24"/>
              </w:rPr>
              <w:t>稳妥实施中小学党组织领导的校长负责制</w:t>
            </w:r>
          </w:p>
        </w:tc>
      </w:tr>
      <w:tr w14:paraId="17D3019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85F86">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132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FB34">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争创国家级</w:t>
            </w:r>
            <w:r>
              <w:rPr>
                <w:rStyle w:val="20"/>
                <w:rFonts w:eastAsia="宋体"/>
                <w:sz w:val="24"/>
                <w:szCs w:val="24"/>
              </w:rPr>
              <w:t>“</w:t>
            </w:r>
            <w:r>
              <w:rPr>
                <w:rFonts w:ascii="Times New Roman" w:hAnsi="Times New Roman" w:eastAsia="方正仿宋_GBK" w:cs="Times New Roman"/>
                <w:color w:val="000000"/>
                <w:sz w:val="24"/>
              </w:rPr>
              <w:t>学前教育普及普惠示范区</w:t>
            </w:r>
            <w:r>
              <w:rPr>
                <w:rStyle w:val="20"/>
                <w:rFonts w:eastAsia="宋体"/>
                <w:sz w:val="24"/>
                <w:szCs w:val="24"/>
              </w:rPr>
              <w:t>”</w:t>
            </w:r>
          </w:p>
        </w:tc>
      </w:tr>
      <w:tr w14:paraId="7D7D698D">
        <w:tblPrEx>
          <w:tblCellMar>
            <w:top w:w="0" w:type="dxa"/>
            <w:left w:w="108" w:type="dxa"/>
            <w:bottom w:w="0" w:type="dxa"/>
            <w:right w:w="108" w:type="dxa"/>
          </w:tblCellMar>
        </w:tblPrEx>
        <w:trPr>
          <w:trHeight w:val="6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F10D3">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133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76E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加强医疗卫生应急处置能力和专业人才储备建设，推进基层卫生人才</w:t>
            </w:r>
            <w:r>
              <w:rPr>
                <w:rStyle w:val="20"/>
                <w:rFonts w:eastAsia="宋体"/>
                <w:sz w:val="24"/>
                <w:szCs w:val="24"/>
              </w:rPr>
              <w:t>“</w:t>
            </w:r>
            <w:r>
              <w:rPr>
                <w:rFonts w:ascii="Times New Roman" w:hAnsi="Times New Roman" w:eastAsia="方正仿宋_GBK" w:cs="Times New Roman"/>
                <w:color w:val="000000"/>
                <w:sz w:val="24"/>
              </w:rPr>
              <w:t>区管院用</w:t>
            </w:r>
            <w:r>
              <w:rPr>
                <w:rStyle w:val="20"/>
                <w:rFonts w:eastAsia="宋体"/>
                <w:sz w:val="24"/>
                <w:szCs w:val="24"/>
              </w:rPr>
              <w:t>”</w:t>
            </w:r>
            <w:r>
              <w:rPr>
                <w:rFonts w:ascii="Times New Roman" w:hAnsi="Times New Roman" w:eastAsia="方正仿宋_GBK" w:cs="Times New Roman"/>
                <w:color w:val="000000"/>
                <w:sz w:val="24"/>
              </w:rPr>
              <w:t>管理体制改革</w:t>
            </w:r>
          </w:p>
        </w:tc>
      </w:tr>
      <w:tr w14:paraId="01F45E9A">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2AE95">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134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19BF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做好朝天宫社区卫生服务中心回迁</w:t>
            </w:r>
          </w:p>
        </w:tc>
      </w:tr>
      <w:tr w14:paraId="3F5FD1D3">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FF34B">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135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855A">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启动双塘街道社区卫生服务中心规划</w:t>
            </w:r>
          </w:p>
        </w:tc>
      </w:tr>
      <w:tr w14:paraId="140AB72A">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1F9BB">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136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0D4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完善家庭医生制度，万人常住居民全科医生数达</w:t>
            </w:r>
            <w:r>
              <w:rPr>
                <w:rStyle w:val="20"/>
                <w:rFonts w:eastAsia="宋体"/>
                <w:sz w:val="24"/>
                <w:szCs w:val="24"/>
              </w:rPr>
              <w:t>7.5</w:t>
            </w:r>
            <w:r>
              <w:rPr>
                <w:rFonts w:ascii="Times New Roman" w:hAnsi="Times New Roman" w:eastAsia="方正仿宋_GBK" w:cs="Times New Roman"/>
                <w:color w:val="000000"/>
                <w:sz w:val="24"/>
              </w:rPr>
              <w:t>人</w:t>
            </w:r>
          </w:p>
        </w:tc>
      </w:tr>
      <w:tr w14:paraId="73047EB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191CC">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137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62E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打造</w:t>
            </w:r>
            <w:r>
              <w:rPr>
                <w:rStyle w:val="20"/>
                <w:rFonts w:eastAsia="宋体"/>
                <w:sz w:val="24"/>
                <w:szCs w:val="24"/>
              </w:rPr>
              <w:t>“</w:t>
            </w:r>
            <w:r>
              <w:rPr>
                <w:rFonts w:ascii="Times New Roman" w:hAnsi="Times New Roman" w:eastAsia="方正仿宋_GBK" w:cs="Times New Roman"/>
                <w:color w:val="000000"/>
                <w:sz w:val="24"/>
              </w:rPr>
              <w:t>中医颐养</w:t>
            </w:r>
            <w:r>
              <w:rPr>
                <w:rStyle w:val="20"/>
                <w:rFonts w:eastAsia="宋体"/>
                <w:sz w:val="24"/>
                <w:szCs w:val="24"/>
              </w:rPr>
              <w:t>”</w:t>
            </w:r>
            <w:r>
              <w:rPr>
                <w:rFonts w:ascii="Times New Roman" w:hAnsi="Times New Roman" w:eastAsia="方正仿宋_GBK" w:cs="Times New Roman"/>
                <w:color w:val="000000"/>
                <w:sz w:val="24"/>
              </w:rPr>
              <w:t>试点品牌</w:t>
            </w:r>
          </w:p>
        </w:tc>
      </w:tr>
      <w:tr w14:paraId="67C83048">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FA77B">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138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4DF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w:t>
            </w:r>
            <w:r>
              <w:rPr>
                <w:rStyle w:val="20"/>
                <w:rFonts w:eastAsia="宋体"/>
                <w:sz w:val="24"/>
                <w:szCs w:val="24"/>
              </w:rPr>
              <w:t>1</w:t>
            </w:r>
            <w:r>
              <w:rPr>
                <w:rFonts w:ascii="Times New Roman" w:hAnsi="Times New Roman" w:eastAsia="方正仿宋_GBK" w:cs="Times New Roman"/>
                <w:color w:val="000000"/>
                <w:sz w:val="24"/>
              </w:rPr>
              <w:t>个普惠托育机构</w:t>
            </w:r>
          </w:p>
        </w:tc>
      </w:tr>
      <w:tr w14:paraId="51AD493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EB188">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139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D5E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完成两癌筛查</w:t>
            </w:r>
            <w:r>
              <w:rPr>
                <w:rStyle w:val="20"/>
                <w:rFonts w:eastAsia="宋体"/>
                <w:sz w:val="24"/>
                <w:szCs w:val="24"/>
              </w:rPr>
              <w:t>1</w:t>
            </w:r>
            <w:r>
              <w:rPr>
                <w:rFonts w:ascii="Times New Roman" w:hAnsi="Times New Roman" w:eastAsia="方正仿宋_GBK" w:cs="Times New Roman"/>
                <w:color w:val="000000"/>
                <w:sz w:val="24"/>
              </w:rPr>
              <w:t>万例</w:t>
            </w:r>
          </w:p>
        </w:tc>
      </w:tr>
      <w:tr w14:paraId="7D6C487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D66DE">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140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1D03">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为适龄女生接种</w:t>
            </w:r>
            <w:r>
              <w:rPr>
                <w:rStyle w:val="20"/>
                <w:rFonts w:eastAsia="宋体"/>
                <w:sz w:val="24"/>
                <w:szCs w:val="24"/>
              </w:rPr>
              <w:t>HPV</w:t>
            </w:r>
            <w:r>
              <w:rPr>
                <w:rFonts w:ascii="Times New Roman" w:hAnsi="Times New Roman" w:eastAsia="方正仿宋_GBK" w:cs="Times New Roman"/>
                <w:color w:val="000000"/>
                <w:sz w:val="24"/>
              </w:rPr>
              <w:t>疫苗</w:t>
            </w:r>
          </w:p>
        </w:tc>
      </w:tr>
      <w:tr w14:paraId="4FFAF49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01831">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141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997D">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新建</w:t>
            </w:r>
            <w:r>
              <w:rPr>
                <w:rStyle w:val="20"/>
                <w:rFonts w:eastAsia="宋体"/>
                <w:sz w:val="24"/>
                <w:szCs w:val="24"/>
              </w:rPr>
              <w:t>1</w:t>
            </w:r>
            <w:r>
              <w:rPr>
                <w:rFonts w:ascii="Times New Roman" w:hAnsi="Times New Roman" w:eastAsia="方正仿宋_GBK" w:cs="Times New Roman"/>
                <w:color w:val="000000"/>
                <w:sz w:val="24"/>
              </w:rPr>
              <w:t>所三级以上养老机构</w:t>
            </w:r>
          </w:p>
        </w:tc>
      </w:tr>
      <w:tr w14:paraId="25273B1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C513">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142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472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建成</w:t>
            </w:r>
            <w:r>
              <w:rPr>
                <w:rStyle w:val="20"/>
                <w:rFonts w:eastAsia="宋体"/>
                <w:sz w:val="24"/>
                <w:szCs w:val="24"/>
              </w:rPr>
              <w:t>12</w:t>
            </w:r>
            <w:r>
              <w:rPr>
                <w:rFonts w:ascii="Times New Roman" w:hAnsi="Times New Roman" w:eastAsia="方正仿宋_GBK" w:cs="Times New Roman"/>
                <w:color w:val="000000"/>
                <w:sz w:val="24"/>
              </w:rPr>
              <w:t>个街道养老综合服务中心</w:t>
            </w:r>
          </w:p>
        </w:tc>
      </w:tr>
      <w:tr w14:paraId="54EB8ED3">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84ED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143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8A561">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新增</w:t>
            </w:r>
            <w:r>
              <w:rPr>
                <w:rStyle w:val="20"/>
                <w:rFonts w:eastAsia="宋体"/>
                <w:sz w:val="24"/>
                <w:szCs w:val="24"/>
              </w:rPr>
              <w:t>300</w:t>
            </w:r>
            <w:r>
              <w:rPr>
                <w:rFonts w:ascii="Times New Roman" w:hAnsi="Times New Roman" w:eastAsia="方正仿宋_GBK" w:cs="Times New Roman"/>
                <w:color w:val="000000"/>
                <w:sz w:val="24"/>
              </w:rPr>
              <w:t>张机构养老床位</w:t>
            </w:r>
          </w:p>
        </w:tc>
      </w:tr>
      <w:tr w14:paraId="49E5DE2B">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6D50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144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44C0">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创建</w:t>
            </w:r>
            <w:r>
              <w:rPr>
                <w:rStyle w:val="20"/>
                <w:rFonts w:eastAsia="宋体"/>
                <w:sz w:val="24"/>
                <w:szCs w:val="24"/>
              </w:rPr>
              <w:t>1</w:t>
            </w:r>
            <w:r>
              <w:rPr>
                <w:rFonts w:ascii="Times New Roman" w:hAnsi="Times New Roman" w:eastAsia="方正仿宋_GBK" w:cs="Times New Roman"/>
                <w:color w:val="000000"/>
                <w:sz w:val="24"/>
              </w:rPr>
              <w:t>个省级示范性老年友好型社区</w:t>
            </w:r>
          </w:p>
        </w:tc>
      </w:tr>
      <w:tr w14:paraId="7806C4F9">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1AFD7">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145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2DC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12</w:t>
            </w:r>
            <w:r>
              <w:rPr>
                <w:rFonts w:ascii="Times New Roman" w:hAnsi="Times New Roman" w:eastAsia="方正仿宋_GBK" w:cs="Times New Roman"/>
                <w:color w:val="000000"/>
                <w:sz w:val="24"/>
              </w:rPr>
              <w:t>个街道实现老年教育社区学习点全覆盖</w:t>
            </w:r>
          </w:p>
        </w:tc>
      </w:tr>
      <w:tr w14:paraId="663DF197">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51AAC">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146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9758">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完善住房保障体系，交付观泓雅苑共有产权房</w:t>
            </w:r>
            <w:r>
              <w:rPr>
                <w:rStyle w:val="20"/>
                <w:rFonts w:eastAsia="宋体"/>
                <w:sz w:val="24"/>
                <w:szCs w:val="24"/>
              </w:rPr>
              <w:t>2729</w:t>
            </w:r>
            <w:r>
              <w:rPr>
                <w:rFonts w:ascii="Times New Roman" w:hAnsi="Times New Roman" w:eastAsia="方正仿宋_GBK" w:cs="Times New Roman"/>
                <w:color w:val="000000"/>
                <w:sz w:val="24"/>
              </w:rPr>
              <w:t>套</w:t>
            </w:r>
          </w:p>
        </w:tc>
      </w:tr>
      <w:tr w14:paraId="00C114F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C1D0D">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147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4980">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杨庄北侧保障房主体完工</w:t>
            </w:r>
          </w:p>
        </w:tc>
      </w:tr>
      <w:tr w14:paraId="251E6E3C">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5BF3F">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148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5F006">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按标准发放人才、中低收入困难家庭、外来务工人员等租赁补贴</w:t>
            </w:r>
          </w:p>
        </w:tc>
      </w:tr>
      <w:tr w14:paraId="29F03573">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9716">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149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59E0A">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开展群众文化活动</w:t>
            </w:r>
            <w:r>
              <w:rPr>
                <w:rStyle w:val="20"/>
                <w:rFonts w:eastAsia="宋体"/>
                <w:sz w:val="24"/>
                <w:szCs w:val="24"/>
              </w:rPr>
              <w:t>1800</w:t>
            </w:r>
            <w:r>
              <w:rPr>
                <w:rFonts w:ascii="Times New Roman" w:hAnsi="Times New Roman" w:eastAsia="方正仿宋_GBK" w:cs="Times New Roman"/>
                <w:color w:val="000000"/>
                <w:sz w:val="24"/>
              </w:rPr>
              <w:t>场</w:t>
            </w:r>
          </w:p>
        </w:tc>
      </w:tr>
      <w:tr w14:paraId="6D18EF04">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BA34F">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150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B46EA">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推进省级科普示范区创建，举办科普活动</w:t>
            </w:r>
            <w:r>
              <w:rPr>
                <w:rStyle w:val="20"/>
                <w:rFonts w:eastAsia="宋体"/>
                <w:sz w:val="24"/>
                <w:szCs w:val="24"/>
              </w:rPr>
              <w:t>40</w:t>
            </w:r>
            <w:r>
              <w:rPr>
                <w:rFonts w:ascii="Times New Roman" w:hAnsi="Times New Roman" w:eastAsia="方正仿宋_GBK" w:cs="Times New Roman"/>
                <w:color w:val="000000"/>
                <w:sz w:val="24"/>
              </w:rPr>
              <w:t>场</w:t>
            </w:r>
          </w:p>
        </w:tc>
      </w:tr>
      <w:tr w14:paraId="13D1AD0B">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FDEC3">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3</w:t>
            </w:r>
            <w:r>
              <w:rPr>
                <w:rFonts w:ascii="Times New Roman" w:hAnsi="Times New Roman" w:eastAsia="方正仿宋_GBK" w:cs="Times New Roman"/>
                <w:b/>
                <w:bCs/>
                <w:color w:val="000000"/>
                <w:sz w:val="24"/>
              </w:rPr>
              <w:t>、做好困难群体托底</w:t>
            </w:r>
          </w:p>
        </w:tc>
      </w:tr>
      <w:tr w14:paraId="514133D1">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79F06">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151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429D">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发放红十字救助资金超</w:t>
            </w:r>
            <w:r>
              <w:rPr>
                <w:rStyle w:val="20"/>
                <w:rFonts w:eastAsia="宋体"/>
                <w:sz w:val="24"/>
                <w:szCs w:val="24"/>
              </w:rPr>
              <w:t>180</w:t>
            </w:r>
            <w:r>
              <w:rPr>
                <w:rFonts w:ascii="Times New Roman" w:hAnsi="Times New Roman" w:eastAsia="方正仿宋_GBK" w:cs="Times New Roman"/>
                <w:color w:val="000000"/>
                <w:sz w:val="24"/>
              </w:rPr>
              <w:t>万元</w:t>
            </w:r>
          </w:p>
        </w:tc>
      </w:tr>
      <w:tr w14:paraId="1DCEC2EF">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E7C2">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152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078D1">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完成贫困残疾人辅具适配</w:t>
            </w:r>
            <w:r>
              <w:rPr>
                <w:rStyle w:val="20"/>
                <w:rFonts w:eastAsia="宋体"/>
                <w:sz w:val="24"/>
                <w:szCs w:val="24"/>
              </w:rPr>
              <w:t>150</w:t>
            </w:r>
            <w:r>
              <w:rPr>
                <w:rFonts w:ascii="Times New Roman" w:hAnsi="Times New Roman" w:eastAsia="方正仿宋_GBK" w:cs="Times New Roman"/>
                <w:color w:val="000000"/>
                <w:sz w:val="24"/>
              </w:rPr>
              <w:t>人</w:t>
            </w:r>
          </w:p>
        </w:tc>
      </w:tr>
      <w:tr w14:paraId="23EB91C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74D0E">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15</w:t>
            </w:r>
            <w:r>
              <w:rPr>
                <w:rFonts w:hint="eastAsia" w:ascii="Times New Roman" w:hAnsi="Times New Roman" w:eastAsia="宋体" w:cs="Times New Roman"/>
                <w:color w:val="000000"/>
                <w:sz w:val="24"/>
              </w:rPr>
              <w:t>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83A58">
            <w:pPr>
              <w:widowControl/>
              <w:spacing w:line="360" w:lineRule="exact"/>
              <w:jc w:val="left"/>
              <w:textAlignment w:val="center"/>
              <w:rPr>
                <w:rFonts w:ascii="Times New Roman" w:hAnsi="Times New Roman" w:eastAsia="宋体" w:cs="Times New Roman"/>
                <w:color w:val="000000"/>
                <w:sz w:val="24"/>
              </w:rPr>
            </w:pPr>
            <w:r>
              <w:rPr>
                <w:rFonts w:hint="eastAsia" w:ascii="Times New Roman" w:hAnsi="Times New Roman" w:eastAsia="方正仿宋_GBK" w:cs="Times New Roman"/>
                <w:color w:val="000000"/>
                <w:sz w:val="24"/>
              </w:rPr>
              <w:t>符合条件的</w:t>
            </w:r>
            <w:r>
              <w:rPr>
                <w:rFonts w:ascii="Times New Roman" w:hAnsi="Times New Roman" w:eastAsia="方正仿宋_GBK" w:cs="Times New Roman"/>
                <w:color w:val="000000"/>
                <w:sz w:val="24"/>
              </w:rPr>
              <w:t>残疾人机动轮椅车主燃油补贴发放率达</w:t>
            </w:r>
            <w:r>
              <w:rPr>
                <w:rStyle w:val="20"/>
                <w:rFonts w:eastAsia="宋体"/>
                <w:sz w:val="24"/>
                <w:szCs w:val="24"/>
              </w:rPr>
              <w:t>100%</w:t>
            </w:r>
          </w:p>
        </w:tc>
      </w:tr>
      <w:tr w14:paraId="26F53491">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300E5">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154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1EAA">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有康复需求和有康复意愿的</w:t>
            </w:r>
            <w:r>
              <w:rPr>
                <w:rStyle w:val="20"/>
                <w:rFonts w:eastAsia="宋体"/>
                <w:sz w:val="24"/>
                <w:szCs w:val="24"/>
              </w:rPr>
              <w:t>0-17</w:t>
            </w:r>
            <w:r>
              <w:rPr>
                <w:rFonts w:ascii="Times New Roman" w:hAnsi="Times New Roman" w:eastAsia="方正仿宋_GBK" w:cs="Times New Roman"/>
                <w:color w:val="000000"/>
                <w:sz w:val="24"/>
              </w:rPr>
              <w:t>岁残疾儿童康复服务率达</w:t>
            </w:r>
            <w:r>
              <w:rPr>
                <w:rStyle w:val="20"/>
                <w:rFonts w:eastAsia="宋体"/>
                <w:sz w:val="24"/>
                <w:szCs w:val="24"/>
              </w:rPr>
              <w:t>100%</w:t>
            </w:r>
          </w:p>
        </w:tc>
      </w:tr>
      <w:tr w14:paraId="1A359FE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78E16">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155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003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特殊困难群众法律援助办案量与常住人口比达</w:t>
            </w:r>
            <w:r>
              <w:rPr>
                <w:rStyle w:val="20"/>
                <w:rFonts w:eastAsia="宋体"/>
                <w:sz w:val="24"/>
                <w:szCs w:val="24"/>
              </w:rPr>
              <w:t>10/</w:t>
            </w:r>
            <w:r>
              <w:rPr>
                <w:rFonts w:ascii="Times New Roman" w:hAnsi="Times New Roman" w:eastAsia="方正仿宋_GBK" w:cs="Times New Roman"/>
                <w:color w:val="000000"/>
                <w:sz w:val="24"/>
              </w:rPr>
              <w:t>万人</w:t>
            </w:r>
          </w:p>
        </w:tc>
      </w:tr>
      <w:tr w14:paraId="5D37F358">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EC340">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156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61A9C">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为</w:t>
            </w:r>
            <w:r>
              <w:rPr>
                <w:rStyle w:val="20"/>
                <w:rFonts w:eastAsia="宋体"/>
                <w:sz w:val="24"/>
                <w:szCs w:val="24"/>
              </w:rPr>
              <w:t>3354</w:t>
            </w:r>
            <w:r>
              <w:rPr>
                <w:rFonts w:ascii="Times New Roman" w:hAnsi="Times New Roman" w:eastAsia="方正仿宋_GBK" w:cs="Times New Roman"/>
                <w:color w:val="000000"/>
                <w:sz w:val="24"/>
              </w:rPr>
              <w:t>户低保家庭、</w:t>
            </w:r>
            <w:r>
              <w:rPr>
                <w:rStyle w:val="20"/>
                <w:rFonts w:eastAsia="宋体"/>
                <w:sz w:val="24"/>
                <w:szCs w:val="24"/>
              </w:rPr>
              <w:t>2570</w:t>
            </w:r>
            <w:r>
              <w:rPr>
                <w:rFonts w:ascii="Times New Roman" w:hAnsi="Times New Roman" w:eastAsia="方正仿宋_GBK" w:cs="Times New Roman"/>
                <w:color w:val="000000"/>
                <w:sz w:val="24"/>
              </w:rPr>
              <w:t>余名困难残疾人、</w:t>
            </w:r>
            <w:r>
              <w:rPr>
                <w:rStyle w:val="20"/>
                <w:rFonts w:eastAsia="宋体"/>
                <w:sz w:val="24"/>
                <w:szCs w:val="24"/>
              </w:rPr>
              <w:t>292</w:t>
            </w:r>
            <w:r>
              <w:rPr>
                <w:rFonts w:ascii="Times New Roman" w:hAnsi="Times New Roman" w:eastAsia="方正仿宋_GBK" w:cs="Times New Roman"/>
                <w:color w:val="000000"/>
                <w:sz w:val="24"/>
              </w:rPr>
              <w:t>名困境儿童做好救助保障</w:t>
            </w:r>
          </w:p>
        </w:tc>
      </w:tr>
      <w:tr w14:paraId="78AB5D21">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3FFE">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157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7C6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为</w:t>
            </w:r>
            <w:r>
              <w:rPr>
                <w:rStyle w:val="20"/>
                <w:rFonts w:eastAsia="宋体"/>
                <w:sz w:val="24"/>
                <w:szCs w:val="24"/>
              </w:rPr>
              <w:t>400</w:t>
            </w:r>
            <w:r>
              <w:rPr>
                <w:rFonts w:ascii="Times New Roman" w:hAnsi="Times New Roman" w:eastAsia="方正仿宋_GBK" w:cs="Times New Roman"/>
                <w:color w:val="000000"/>
                <w:sz w:val="24"/>
              </w:rPr>
              <w:t>户特殊困难家庭开展适老化改造</w:t>
            </w:r>
          </w:p>
        </w:tc>
      </w:tr>
      <w:tr w14:paraId="30E2A62A">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7582">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158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FFDF4">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开展失能、失智老年人家庭成员照护培训</w:t>
            </w:r>
            <w:r>
              <w:rPr>
                <w:rStyle w:val="20"/>
                <w:rFonts w:eastAsia="宋体"/>
                <w:sz w:val="24"/>
                <w:szCs w:val="24"/>
              </w:rPr>
              <w:t>400</w:t>
            </w:r>
            <w:r>
              <w:rPr>
                <w:rFonts w:ascii="Times New Roman" w:hAnsi="Times New Roman" w:eastAsia="方正仿宋_GBK" w:cs="Times New Roman"/>
                <w:color w:val="000000"/>
                <w:sz w:val="24"/>
              </w:rPr>
              <w:t>人次</w:t>
            </w:r>
          </w:p>
        </w:tc>
      </w:tr>
      <w:tr w14:paraId="31F4D80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71ADA">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159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7A93">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重点空巢独居老人签约服务覆盖率超</w:t>
            </w:r>
            <w:r>
              <w:rPr>
                <w:rStyle w:val="20"/>
                <w:rFonts w:eastAsia="宋体"/>
                <w:sz w:val="24"/>
                <w:szCs w:val="24"/>
              </w:rPr>
              <w:t>90%</w:t>
            </w:r>
            <w:r>
              <w:rPr>
                <w:rFonts w:ascii="Times New Roman" w:hAnsi="Times New Roman" w:eastAsia="方正仿宋_GBK" w:cs="Times New Roman"/>
                <w:color w:val="000000"/>
                <w:sz w:val="24"/>
              </w:rPr>
              <w:t>，信息呼叫终端安装率超</w:t>
            </w:r>
            <w:r>
              <w:rPr>
                <w:rStyle w:val="20"/>
                <w:rFonts w:eastAsia="宋体"/>
                <w:sz w:val="24"/>
                <w:szCs w:val="24"/>
              </w:rPr>
              <w:t>90%</w:t>
            </w:r>
          </w:p>
        </w:tc>
      </w:tr>
      <w:tr w14:paraId="5FDCA039">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652A7">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160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1C1E">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加强保供稳价工作，减轻物价上涨对困难群体基本生活影响</w:t>
            </w:r>
          </w:p>
        </w:tc>
      </w:tr>
      <w:tr w14:paraId="124FE338">
        <w:tblPrEx>
          <w:tblCellMar>
            <w:top w:w="0" w:type="dxa"/>
            <w:left w:w="108" w:type="dxa"/>
            <w:bottom w:w="0" w:type="dxa"/>
            <w:right w:w="108" w:type="dxa"/>
          </w:tblCellMar>
        </w:tblPrEx>
        <w:trPr>
          <w:trHeight w:val="285"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E9B47">
            <w:pPr>
              <w:widowControl/>
              <w:spacing w:line="360" w:lineRule="exact"/>
              <w:jc w:val="left"/>
              <w:textAlignment w:val="center"/>
              <w:rPr>
                <w:rFonts w:ascii="Times New Roman" w:hAnsi="Times New Roman" w:eastAsia="方正楷体_GBK" w:cs="Times New Roman"/>
                <w:color w:val="000000"/>
                <w:sz w:val="24"/>
              </w:rPr>
            </w:pPr>
            <w:r>
              <w:rPr>
                <w:rFonts w:ascii="Times New Roman" w:hAnsi="Times New Roman" w:eastAsia="方正楷体_GBK" w:cs="Times New Roman"/>
                <w:color w:val="000000"/>
                <w:kern w:val="0"/>
                <w:sz w:val="24"/>
              </w:rPr>
              <w:t>（六）深化改革创新，完善治理能力</w:t>
            </w:r>
          </w:p>
        </w:tc>
      </w:tr>
      <w:tr w14:paraId="21A14920">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C5007">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1</w:t>
            </w:r>
            <w:r>
              <w:rPr>
                <w:rFonts w:ascii="Times New Roman" w:hAnsi="Times New Roman" w:eastAsia="方正仿宋_GBK" w:cs="Times New Roman"/>
                <w:b/>
                <w:bCs/>
                <w:color w:val="000000"/>
                <w:sz w:val="24"/>
              </w:rPr>
              <w:t>、深化重点领域改革</w:t>
            </w:r>
          </w:p>
        </w:tc>
      </w:tr>
      <w:tr w14:paraId="20569B7A">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E909D">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161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563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健全预算统筹使用机制，公用经费定额标准压降</w:t>
            </w:r>
            <w:r>
              <w:rPr>
                <w:rStyle w:val="20"/>
                <w:rFonts w:eastAsia="宋体"/>
                <w:sz w:val="24"/>
                <w:szCs w:val="24"/>
              </w:rPr>
              <w:t>15%</w:t>
            </w:r>
          </w:p>
        </w:tc>
      </w:tr>
      <w:tr w14:paraId="126FB3DF">
        <w:tblPrEx>
          <w:tblCellMar>
            <w:top w:w="0" w:type="dxa"/>
            <w:left w:w="108" w:type="dxa"/>
            <w:bottom w:w="0" w:type="dxa"/>
            <w:right w:w="108" w:type="dxa"/>
          </w:tblCellMar>
        </w:tblPrEx>
        <w:trPr>
          <w:trHeight w:val="6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5E119">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162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7134F">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建立政府项目支出和预算资金使用绩效管理机制，加强政府债务全生命周期动态跟踪监管</w:t>
            </w:r>
          </w:p>
        </w:tc>
      </w:tr>
      <w:tr w14:paraId="082E7842">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8FDFE">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16</w:t>
            </w:r>
            <w:r>
              <w:rPr>
                <w:rFonts w:hint="eastAsia" w:ascii="Times New Roman" w:hAnsi="Times New Roman" w:eastAsia="宋体" w:cs="Times New Roman"/>
                <w:color w:val="000000"/>
                <w:sz w:val="24"/>
              </w:rPr>
              <w:t>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04E0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推进国企市场化改革，实施国企投资负面清单管理</w:t>
            </w:r>
          </w:p>
        </w:tc>
      </w:tr>
      <w:tr w14:paraId="38E561B4">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8BCAA">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164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8D5EB">
            <w:pPr>
              <w:widowControl/>
              <w:spacing w:line="360" w:lineRule="exact"/>
              <w:jc w:val="left"/>
              <w:textAlignment w:val="center"/>
              <w:rPr>
                <w:rFonts w:ascii="Times New Roman" w:hAnsi="Times New Roman" w:eastAsia="宋体" w:cs="Times New Roman"/>
                <w:color w:val="000000"/>
                <w:sz w:val="24"/>
              </w:rPr>
            </w:pPr>
            <w:r>
              <w:rPr>
                <w:rFonts w:hint="eastAsia" w:ascii="Times New Roman" w:hAnsi="Times New Roman" w:eastAsia="方正仿宋_GBK" w:cs="Times New Roman"/>
                <w:color w:val="000000"/>
                <w:sz w:val="24"/>
              </w:rPr>
              <w:t>纵深推进全区综合行政执法改革，提升基层治理效能</w:t>
            </w:r>
          </w:p>
        </w:tc>
      </w:tr>
      <w:tr w14:paraId="387DCBC4">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98B35">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2</w:t>
            </w:r>
            <w:r>
              <w:rPr>
                <w:rFonts w:ascii="Times New Roman" w:hAnsi="Times New Roman" w:eastAsia="方正仿宋_GBK" w:cs="Times New Roman"/>
                <w:b/>
                <w:bCs/>
                <w:color w:val="000000"/>
                <w:sz w:val="24"/>
              </w:rPr>
              <w:t>、加强数字政府建设</w:t>
            </w:r>
          </w:p>
        </w:tc>
      </w:tr>
      <w:tr w14:paraId="786714FD">
        <w:tblPrEx>
          <w:tblCellMar>
            <w:top w:w="0" w:type="dxa"/>
            <w:left w:w="108" w:type="dxa"/>
            <w:bottom w:w="0" w:type="dxa"/>
            <w:right w:w="108" w:type="dxa"/>
          </w:tblCellMar>
        </w:tblPrEx>
        <w:trPr>
          <w:trHeight w:val="6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9151">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165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1739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完善</w:t>
            </w:r>
            <w:r>
              <w:rPr>
                <w:rStyle w:val="20"/>
                <w:rFonts w:eastAsia="宋体"/>
                <w:sz w:val="24"/>
                <w:szCs w:val="24"/>
              </w:rPr>
              <w:t>“</w:t>
            </w:r>
            <w:r>
              <w:rPr>
                <w:rFonts w:ascii="Times New Roman" w:hAnsi="Times New Roman" w:eastAsia="方正仿宋_GBK" w:cs="Times New Roman"/>
                <w:color w:val="000000"/>
                <w:sz w:val="24"/>
              </w:rPr>
              <w:t>一网统管</w:t>
            </w:r>
            <w:r>
              <w:rPr>
                <w:rStyle w:val="20"/>
                <w:rFonts w:eastAsia="宋体"/>
                <w:sz w:val="24"/>
                <w:szCs w:val="24"/>
              </w:rPr>
              <w:t>”</w:t>
            </w:r>
            <w:r>
              <w:rPr>
                <w:rFonts w:ascii="Times New Roman" w:hAnsi="Times New Roman" w:eastAsia="方正仿宋_GBK" w:cs="Times New Roman"/>
                <w:color w:val="000000"/>
                <w:sz w:val="24"/>
              </w:rPr>
              <w:t>平台功能，搭建</w:t>
            </w:r>
            <w:r>
              <w:rPr>
                <w:rStyle w:val="20"/>
                <w:rFonts w:eastAsia="宋体"/>
                <w:sz w:val="24"/>
                <w:szCs w:val="24"/>
              </w:rPr>
              <w:t>“</w:t>
            </w:r>
            <w:r>
              <w:rPr>
                <w:rFonts w:ascii="Times New Roman" w:hAnsi="Times New Roman" w:eastAsia="方正仿宋_GBK" w:cs="Times New Roman"/>
                <w:color w:val="000000"/>
                <w:sz w:val="24"/>
              </w:rPr>
              <w:t>四标四实</w:t>
            </w:r>
            <w:r>
              <w:rPr>
                <w:rStyle w:val="20"/>
                <w:rFonts w:eastAsia="宋体"/>
                <w:sz w:val="24"/>
                <w:szCs w:val="24"/>
              </w:rPr>
              <w:t>”</w:t>
            </w:r>
            <w:r>
              <w:rPr>
                <w:rFonts w:ascii="Times New Roman" w:hAnsi="Times New Roman" w:eastAsia="方正仿宋_GBK" w:cs="Times New Roman"/>
                <w:color w:val="000000"/>
                <w:sz w:val="24"/>
              </w:rPr>
              <w:t>数据中台、</w:t>
            </w:r>
            <w:r>
              <w:rPr>
                <w:rStyle w:val="20"/>
                <w:rFonts w:eastAsia="宋体"/>
                <w:sz w:val="24"/>
                <w:szCs w:val="24"/>
              </w:rPr>
              <w:t>“</w:t>
            </w:r>
            <w:r>
              <w:rPr>
                <w:rFonts w:ascii="Times New Roman" w:hAnsi="Times New Roman" w:eastAsia="方正仿宋_GBK" w:cs="Times New Roman"/>
                <w:color w:val="000000"/>
                <w:sz w:val="24"/>
              </w:rPr>
              <w:t>三合一</w:t>
            </w:r>
            <w:r>
              <w:rPr>
                <w:rStyle w:val="20"/>
                <w:rFonts w:eastAsia="宋体"/>
                <w:sz w:val="24"/>
                <w:szCs w:val="24"/>
              </w:rPr>
              <w:t>”</w:t>
            </w:r>
            <w:r>
              <w:rPr>
                <w:rFonts w:ascii="Times New Roman" w:hAnsi="Times New Roman" w:eastAsia="方正仿宋_GBK" w:cs="Times New Roman"/>
                <w:color w:val="000000"/>
                <w:sz w:val="24"/>
              </w:rPr>
              <w:t>场所监管场景、增加</w:t>
            </w:r>
            <w:r>
              <w:rPr>
                <w:rStyle w:val="20"/>
                <w:rFonts w:eastAsia="宋体"/>
                <w:sz w:val="24"/>
                <w:szCs w:val="24"/>
              </w:rPr>
              <w:t>“</w:t>
            </w:r>
            <w:r>
              <w:rPr>
                <w:rFonts w:ascii="Times New Roman" w:hAnsi="Times New Roman" w:eastAsia="方正仿宋_GBK" w:cs="Times New Roman"/>
                <w:color w:val="000000"/>
                <w:sz w:val="24"/>
              </w:rPr>
              <w:t>随手拍</w:t>
            </w:r>
            <w:r>
              <w:rPr>
                <w:rStyle w:val="20"/>
                <w:rFonts w:eastAsia="宋体"/>
                <w:sz w:val="24"/>
                <w:szCs w:val="24"/>
              </w:rPr>
              <w:t>”</w:t>
            </w:r>
            <w:r>
              <w:rPr>
                <w:rFonts w:ascii="Times New Roman" w:hAnsi="Times New Roman" w:eastAsia="方正仿宋_GBK" w:cs="Times New Roman"/>
                <w:color w:val="000000"/>
                <w:sz w:val="24"/>
              </w:rPr>
              <w:t>等功能模块，新增全景要素网格等</w:t>
            </w:r>
            <w:r>
              <w:rPr>
                <w:rStyle w:val="20"/>
                <w:rFonts w:eastAsia="宋体"/>
                <w:sz w:val="24"/>
                <w:szCs w:val="24"/>
              </w:rPr>
              <w:t>3</w:t>
            </w:r>
            <w:r>
              <w:rPr>
                <w:rFonts w:ascii="Times New Roman" w:hAnsi="Times New Roman" w:eastAsia="方正仿宋_GBK" w:cs="Times New Roman"/>
                <w:color w:val="000000"/>
                <w:sz w:val="24"/>
              </w:rPr>
              <w:t>个场景</w:t>
            </w:r>
          </w:p>
        </w:tc>
      </w:tr>
      <w:tr w14:paraId="2ECCCAEF">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3458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16</w:t>
            </w:r>
            <w:r>
              <w:rPr>
                <w:rFonts w:hint="eastAsia" w:ascii="Times New Roman" w:hAnsi="Times New Roman" w:eastAsia="宋体" w:cs="Times New Roman"/>
                <w:color w:val="000000"/>
                <w:sz w:val="24"/>
              </w:rPr>
              <w:t>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7E11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以首席数据官制度为牵引，提升数字化政府建设效能</w:t>
            </w:r>
          </w:p>
        </w:tc>
      </w:tr>
      <w:tr w14:paraId="76D15767">
        <w:tblPrEx>
          <w:tblCellMar>
            <w:top w:w="0" w:type="dxa"/>
            <w:left w:w="108" w:type="dxa"/>
            <w:bottom w:w="0" w:type="dxa"/>
            <w:right w:w="108" w:type="dxa"/>
          </w:tblCellMar>
        </w:tblPrEx>
        <w:trPr>
          <w:trHeight w:val="6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47A78">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16</w:t>
            </w:r>
            <w:r>
              <w:rPr>
                <w:rFonts w:hint="eastAsia" w:ascii="Times New Roman" w:hAnsi="Times New Roman" w:eastAsia="宋体" w:cs="Times New Roman"/>
                <w:color w:val="000000"/>
                <w:sz w:val="24"/>
              </w:rPr>
              <w:t>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8195">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深化</w:t>
            </w:r>
            <w:r>
              <w:rPr>
                <w:rStyle w:val="20"/>
                <w:rFonts w:eastAsia="宋体"/>
                <w:sz w:val="24"/>
                <w:szCs w:val="24"/>
              </w:rPr>
              <w:t>“</w:t>
            </w:r>
            <w:r>
              <w:rPr>
                <w:rFonts w:ascii="Times New Roman" w:hAnsi="Times New Roman" w:eastAsia="方正仿宋_GBK" w:cs="Times New Roman"/>
                <w:color w:val="000000"/>
                <w:sz w:val="24"/>
              </w:rPr>
              <w:t>办事减负便民</w:t>
            </w:r>
            <w:r>
              <w:rPr>
                <w:rStyle w:val="20"/>
                <w:rFonts w:eastAsia="宋体"/>
                <w:sz w:val="24"/>
                <w:szCs w:val="24"/>
              </w:rPr>
              <w:t>”</w:t>
            </w:r>
            <w:r>
              <w:rPr>
                <w:rFonts w:ascii="Times New Roman" w:hAnsi="Times New Roman" w:eastAsia="方正仿宋_GBK" w:cs="Times New Roman"/>
                <w:color w:val="000000"/>
                <w:sz w:val="24"/>
              </w:rPr>
              <w:t>，</w:t>
            </w:r>
            <w:r>
              <w:rPr>
                <w:rStyle w:val="20"/>
                <w:rFonts w:eastAsia="宋体"/>
                <w:sz w:val="24"/>
                <w:szCs w:val="24"/>
              </w:rPr>
              <w:t xml:space="preserve"> </w:t>
            </w:r>
            <w:r>
              <w:rPr>
                <w:rFonts w:ascii="Times New Roman" w:hAnsi="Times New Roman" w:eastAsia="方正仿宋_GBK" w:cs="Times New Roman"/>
                <w:color w:val="000000"/>
                <w:sz w:val="24"/>
              </w:rPr>
              <w:t>推进</w:t>
            </w:r>
            <w:r>
              <w:rPr>
                <w:rStyle w:val="20"/>
                <w:rFonts w:eastAsia="宋体"/>
                <w:sz w:val="24"/>
                <w:szCs w:val="24"/>
              </w:rPr>
              <w:t>“</w:t>
            </w:r>
            <w:r>
              <w:rPr>
                <w:rFonts w:ascii="Times New Roman" w:hAnsi="Times New Roman" w:eastAsia="方正仿宋_GBK" w:cs="Times New Roman"/>
                <w:color w:val="000000"/>
                <w:sz w:val="24"/>
              </w:rPr>
              <w:t>免证办</w:t>
            </w:r>
            <w:r>
              <w:rPr>
                <w:rStyle w:val="20"/>
                <w:rFonts w:eastAsia="宋体"/>
                <w:sz w:val="24"/>
                <w:szCs w:val="24"/>
              </w:rPr>
              <w:t>”</w:t>
            </w:r>
            <w:r>
              <w:rPr>
                <w:rFonts w:ascii="Times New Roman" w:hAnsi="Times New Roman" w:eastAsia="方正仿宋_GBK" w:cs="Times New Roman"/>
                <w:color w:val="000000"/>
                <w:sz w:val="24"/>
              </w:rPr>
              <w:t>、</w:t>
            </w:r>
            <w:r>
              <w:rPr>
                <w:rStyle w:val="20"/>
                <w:rFonts w:eastAsia="宋体"/>
                <w:sz w:val="24"/>
                <w:szCs w:val="24"/>
              </w:rPr>
              <w:t>“</w:t>
            </w:r>
            <w:r>
              <w:rPr>
                <w:rFonts w:ascii="Times New Roman" w:hAnsi="Times New Roman" w:eastAsia="方正仿宋_GBK" w:cs="Times New Roman"/>
                <w:color w:val="000000"/>
                <w:sz w:val="24"/>
              </w:rPr>
              <w:t>一网通办</w:t>
            </w:r>
            <w:r>
              <w:rPr>
                <w:rStyle w:val="20"/>
                <w:rFonts w:eastAsia="宋体"/>
                <w:sz w:val="24"/>
                <w:szCs w:val="24"/>
              </w:rPr>
              <w:t>”</w:t>
            </w:r>
            <w:r>
              <w:rPr>
                <w:rFonts w:ascii="Times New Roman" w:hAnsi="Times New Roman" w:eastAsia="方正仿宋_GBK" w:cs="Times New Roman"/>
                <w:color w:val="000000"/>
                <w:sz w:val="24"/>
              </w:rPr>
              <w:t>、</w:t>
            </w:r>
            <w:r>
              <w:rPr>
                <w:rStyle w:val="20"/>
                <w:rFonts w:eastAsia="宋体"/>
                <w:sz w:val="24"/>
                <w:szCs w:val="24"/>
              </w:rPr>
              <w:t>“</w:t>
            </w:r>
            <w:r>
              <w:rPr>
                <w:rFonts w:ascii="Times New Roman" w:hAnsi="Times New Roman" w:eastAsia="方正仿宋_GBK" w:cs="Times New Roman"/>
                <w:color w:val="000000"/>
                <w:sz w:val="24"/>
              </w:rPr>
              <w:t>好差评</w:t>
            </w:r>
            <w:r>
              <w:rPr>
                <w:rStyle w:val="20"/>
                <w:rFonts w:eastAsia="宋体"/>
                <w:sz w:val="24"/>
                <w:szCs w:val="24"/>
              </w:rPr>
              <w:t>”</w:t>
            </w:r>
            <w:r>
              <w:rPr>
                <w:rFonts w:ascii="Times New Roman" w:hAnsi="Times New Roman" w:eastAsia="方正仿宋_GBK" w:cs="Times New Roman"/>
                <w:color w:val="000000"/>
                <w:sz w:val="24"/>
              </w:rPr>
              <w:t>、</w:t>
            </w:r>
            <w:r>
              <w:rPr>
                <w:rStyle w:val="20"/>
                <w:rFonts w:eastAsia="宋体"/>
                <w:sz w:val="24"/>
                <w:szCs w:val="24"/>
              </w:rPr>
              <w:t>“</w:t>
            </w:r>
            <w:r>
              <w:rPr>
                <w:rFonts w:ascii="Times New Roman" w:hAnsi="Times New Roman" w:eastAsia="方正仿宋_GBK" w:cs="Times New Roman"/>
                <w:color w:val="000000"/>
                <w:sz w:val="24"/>
              </w:rPr>
              <w:t>苏服办</w:t>
            </w:r>
            <w:r>
              <w:rPr>
                <w:rStyle w:val="20"/>
                <w:rFonts w:eastAsia="宋体"/>
                <w:sz w:val="24"/>
                <w:szCs w:val="24"/>
              </w:rPr>
              <w:t>”</w:t>
            </w:r>
            <w:r>
              <w:rPr>
                <w:rFonts w:ascii="Times New Roman" w:hAnsi="Times New Roman" w:eastAsia="方正仿宋_GBK" w:cs="Times New Roman"/>
                <w:color w:val="000000"/>
                <w:sz w:val="24"/>
              </w:rPr>
              <w:t>等政务服务改革，提升政务服务效能</w:t>
            </w:r>
          </w:p>
        </w:tc>
      </w:tr>
      <w:tr w14:paraId="339778B4">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E65AF">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168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15AA">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宋体" w:cs="Times New Roman"/>
                <w:color w:val="000000"/>
                <w:kern w:val="0"/>
                <w:sz w:val="24"/>
              </w:rPr>
              <w:t>“</w:t>
            </w:r>
            <w:r>
              <w:rPr>
                <w:rFonts w:ascii="Times New Roman" w:hAnsi="Times New Roman" w:eastAsia="方正仿宋_GBK" w:cs="Times New Roman"/>
                <w:color w:val="000000"/>
                <w:sz w:val="24"/>
              </w:rPr>
              <w:t>苏解纷</w:t>
            </w:r>
            <w:r>
              <w:rPr>
                <w:rStyle w:val="20"/>
                <w:rFonts w:eastAsia="宋体"/>
                <w:sz w:val="24"/>
                <w:szCs w:val="24"/>
              </w:rPr>
              <w:t>”APP</w:t>
            </w:r>
            <w:r>
              <w:rPr>
                <w:rFonts w:ascii="Times New Roman" w:hAnsi="Times New Roman" w:eastAsia="方正仿宋_GBK" w:cs="Times New Roman"/>
                <w:color w:val="000000"/>
                <w:sz w:val="24"/>
              </w:rPr>
              <w:t>小助手注册量达到</w:t>
            </w:r>
            <w:r>
              <w:rPr>
                <w:rStyle w:val="20"/>
                <w:rFonts w:eastAsia="宋体"/>
                <w:sz w:val="24"/>
                <w:szCs w:val="24"/>
              </w:rPr>
              <w:t>2.5</w:t>
            </w:r>
            <w:r>
              <w:rPr>
                <w:rFonts w:ascii="Times New Roman" w:hAnsi="Times New Roman" w:eastAsia="方正仿宋_GBK" w:cs="Times New Roman"/>
                <w:color w:val="000000"/>
                <w:sz w:val="24"/>
              </w:rPr>
              <w:t>万次</w:t>
            </w:r>
          </w:p>
        </w:tc>
      </w:tr>
      <w:tr w14:paraId="009A57B6">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A871C">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3</w:t>
            </w:r>
            <w:r>
              <w:rPr>
                <w:rFonts w:ascii="Times New Roman" w:hAnsi="Times New Roman" w:eastAsia="方正仿宋_GBK" w:cs="Times New Roman"/>
                <w:b/>
                <w:bCs/>
                <w:color w:val="000000"/>
                <w:sz w:val="24"/>
              </w:rPr>
              <w:t>、打造更优营商环境</w:t>
            </w:r>
          </w:p>
        </w:tc>
      </w:tr>
      <w:tr w14:paraId="394D09C6">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706F5">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169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737E1">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搭建政企联动、企企互动等供需对接平台，进一步打通企业发展堵点、痛点</w:t>
            </w:r>
          </w:p>
        </w:tc>
      </w:tr>
      <w:tr w14:paraId="1C9F22D9">
        <w:tblPrEx>
          <w:tblCellMar>
            <w:top w:w="0" w:type="dxa"/>
            <w:left w:w="108" w:type="dxa"/>
            <w:bottom w:w="0" w:type="dxa"/>
            <w:right w:w="108" w:type="dxa"/>
          </w:tblCellMar>
        </w:tblPrEx>
        <w:trPr>
          <w:trHeight w:val="6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C2EA3">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170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078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全面推进</w:t>
            </w:r>
            <w:r>
              <w:rPr>
                <w:rStyle w:val="20"/>
                <w:rFonts w:eastAsia="宋体"/>
                <w:sz w:val="24"/>
                <w:szCs w:val="24"/>
              </w:rPr>
              <w:t>“</w:t>
            </w:r>
            <w:r>
              <w:rPr>
                <w:rFonts w:ascii="Times New Roman" w:hAnsi="Times New Roman" w:eastAsia="方正仿宋_GBK" w:cs="Times New Roman"/>
                <w:color w:val="000000"/>
                <w:sz w:val="24"/>
              </w:rPr>
              <w:t>证照分离</w:t>
            </w:r>
            <w:r>
              <w:rPr>
                <w:rStyle w:val="20"/>
                <w:rFonts w:eastAsia="宋体"/>
                <w:sz w:val="24"/>
                <w:szCs w:val="24"/>
              </w:rPr>
              <w:t>”</w:t>
            </w:r>
            <w:r>
              <w:rPr>
                <w:rFonts w:ascii="Times New Roman" w:hAnsi="Times New Roman" w:eastAsia="方正仿宋_GBK" w:cs="Times New Roman"/>
                <w:color w:val="000000"/>
                <w:sz w:val="24"/>
              </w:rPr>
              <w:t>改革，落实公平竞争审查制度，做好</w:t>
            </w:r>
            <w:r>
              <w:rPr>
                <w:rStyle w:val="20"/>
                <w:rFonts w:eastAsia="宋体"/>
                <w:sz w:val="24"/>
                <w:szCs w:val="24"/>
              </w:rPr>
              <w:t>“</w:t>
            </w:r>
            <w:r>
              <w:rPr>
                <w:rFonts w:ascii="Times New Roman" w:hAnsi="Times New Roman" w:eastAsia="方正仿宋_GBK" w:cs="Times New Roman"/>
                <w:color w:val="000000"/>
                <w:sz w:val="24"/>
              </w:rPr>
              <w:t>双随机、一公开</w:t>
            </w:r>
            <w:r>
              <w:rPr>
                <w:rStyle w:val="20"/>
                <w:rFonts w:eastAsia="宋体"/>
                <w:sz w:val="24"/>
                <w:szCs w:val="24"/>
              </w:rPr>
              <w:t>”</w:t>
            </w:r>
            <w:r>
              <w:rPr>
                <w:rFonts w:ascii="Times New Roman" w:hAnsi="Times New Roman" w:eastAsia="方正仿宋_GBK" w:cs="Times New Roman"/>
                <w:color w:val="000000"/>
                <w:sz w:val="24"/>
              </w:rPr>
              <w:t>监管，进一步扩大</w:t>
            </w:r>
            <w:r>
              <w:rPr>
                <w:rStyle w:val="20"/>
                <w:rFonts w:eastAsia="宋体"/>
                <w:sz w:val="24"/>
                <w:szCs w:val="24"/>
              </w:rPr>
              <w:t>“</w:t>
            </w:r>
            <w:r>
              <w:rPr>
                <w:rFonts w:ascii="Times New Roman" w:hAnsi="Times New Roman" w:eastAsia="方正仿宋_GBK" w:cs="Times New Roman"/>
                <w:color w:val="000000"/>
                <w:sz w:val="24"/>
              </w:rPr>
              <w:t>一业一抽</w:t>
            </w:r>
            <w:r>
              <w:rPr>
                <w:rStyle w:val="20"/>
                <w:rFonts w:eastAsia="宋体"/>
                <w:sz w:val="24"/>
                <w:szCs w:val="24"/>
              </w:rPr>
              <w:t>”</w:t>
            </w:r>
            <w:r>
              <w:rPr>
                <w:rFonts w:ascii="Times New Roman" w:hAnsi="Times New Roman" w:eastAsia="方正仿宋_GBK" w:cs="Times New Roman"/>
                <w:color w:val="000000"/>
                <w:sz w:val="24"/>
              </w:rPr>
              <w:t>试点范围</w:t>
            </w:r>
          </w:p>
        </w:tc>
      </w:tr>
      <w:tr w14:paraId="58A3AB17">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88CB5">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171</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8DA7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施行证明事项告知承诺制，推动包容审慎监管、柔性执法</w:t>
            </w:r>
          </w:p>
        </w:tc>
      </w:tr>
      <w:tr w14:paraId="335DEDE5">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DC182">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17</w:t>
            </w:r>
            <w:r>
              <w:rPr>
                <w:rFonts w:hint="eastAsia" w:ascii="Times New Roman" w:hAnsi="Times New Roman" w:eastAsia="宋体" w:cs="Times New Roman"/>
                <w:color w:val="000000"/>
                <w:sz w:val="24"/>
              </w:rPr>
              <w:t>2</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2EB7">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完善知识产权保护要素，加强新增专利大户培育，做好知识产权服务机构监管</w:t>
            </w:r>
          </w:p>
        </w:tc>
      </w:tr>
      <w:tr w14:paraId="6C88612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EC62">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173</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B019">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持续推进融资信用服务，完善失信主体治理</w:t>
            </w:r>
          </w:p>
        </w:tc>
      </w:tr>
      <w:tr w14:paraId="6DA5832E">
        <w:tblPrEx>
          <w:tblCellMar>
            <w:top w:w="0" w:type="dxa"/>
            <w:left w:w="108" w:type="dxa"/>
            <w:bottom w:w="0" w:type="dxa"/>
            <w:right w:w="108" w:type="dxa"/>
          </w:tblCellMar>
        </w:tblPrEx>
        <w:trPr>
          <w:trHeight w:val="300" w:hRule="atLeast"/>
          <w:jc w:val="center"/>
        </w:trPr>
        <w:tc>
          <w:tcPr>
            <w:tcW w:w="93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805A">
            <w:pPr>
              <w:widowControl/>
              <w:spacing w:line="360" w:lineRule="exact"/>
              <w:jc w:val="left"/>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rPr>
              <w:t>4</w:t>
            </w:r>
            <w:r>
              <w:rPr>
                <w:rFonts w:ascii="Times New Roman" w:hAnsi="Times New Roman" w:eastAsia="方正仿宋_GBK" w:cs="Times New Roman"/>
                <w:b/>
                <w:bCs/>
                <w:color w:val="000000"/>
                <w:sz w:val="24"/>
              </w:rPr>
              <w:t>、维护区域安全稳定</w:t>
            </w:r>
          </w:p>
        </w:tc>
      </w:tr>
      <w:tr w14:paraId="484EC460">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13C92">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174</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6890">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确保生产安全事故起数、死亡人数</w:t>
            </w:r>
            <w:r>
              <w:rPr>
                <w:rStyle w:val="20"/>
                <w:rFonts w:eastAsia="宋体"/>
                <w:sz w:val="24"/>
                <w:szCs w:val="24"/>
              </w:rPr>
              <w:t>“</w:t>
            </w:r>
            <w:r>
              <w:rPr>
                <w:rFonts w:ascii="Times New Roman" w:hAnsi="Times New Roman" w:eastAsia="方正仿宋_GBK" w:cs="Times New Roman"/>
                <w:color w:val="000000"/>
                <w:sz w:val="24"/>
              </w:rPr>
              <w:t>双下降</w:t>
            </w:r>
            <w:r>
              <w:rPr>
                <w:rStyle w:val="20"/>
                <w:rFonts w:eastAsia="宋体"/>
                <w:sz w:val="24"/>
                <w:szCs w:val="24"/>
              </w:rPr>
              <w:t>”</w:t>
            </w:r>
          </w:p>
        </w:tc>
      </w:tr>
      <w:tr w14:paraId="38AE69A2">
        <w:tblPrEx>
          <w:tblCellMar>
            <w:top w:w="0" w:type="dxa"/>
            <w:left w:w="108" w:type="dxa"/>
            <w:bottom w:w="0" w:type="dxa"/>
            <w:right w:w="108" w:type="dxa"/>
          </w:tblCellMar>
        </w:tblPrEx>
        <w:trPr>
          <w:trHeight w:val="9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23BD2">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175</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FCB3">
            <w:pPr>
              <w:widowControl/>
              <w:spacing w:line="360" w:lineRule="exact"/>
              <w:jc w:val="left"/>
              <w:textAlignment w:val="center"/>
              <w:rPr>
                <w:rFonts w:ascii="Times New Roman" w:hAnsi="Times New Roman" w:eastAsia="宋体" w:cs="Times New Roman"/>
                <w:color w:val="000000"/>
                <w:sz w:val="24"/>
              </w:rPr>
            </w:pPr>
            <w:r>
              <w:rPr>
                <w:rStyle w:val="20"/>
                <w:rFonts w:eastAsia="宋体"/>
                <w:sz w:val="24"/>
                <w:szCs w:val="24"/>
              </w:rPr>
              <w:t>12345</w:t>
            </w:r>
            <w:r>
              <w:rPr>
                <w:rFonts w:ascii="Times New Roman" w:hAnsi="Times New Roman" w:eastAsia="方正仿宋_GBK" w:cs="Times New Roman"/>
                <w:color w:val="000000"/>
                <w:sz w:val="24"/>
              </w:rPr>
              <w:t>政务服务便民热线问题解决率超</w:t>
            </w:r>
            <w:r>
              <w:rPr>
                <w:rStyle w:val="20"/>
                <w:rFonts w:eastAsia="宋体"/>
                <w:sz w:val="24"/>
                <w:szCs w:val="24"/>
              </w:rPr>
              <w:t>80%</w:t>
            </w:r>
            <w:r>
              <w:rPr>
                <w:rFonts w:ascii="Times New Roman" w:hAnsi="Times New Roman" w:eastAsia="方正仿宋_GBK" w:cs="Times New Roman"/>
                <w:color w:val="000000"/>
                <w:sz w:val="24"/>
              </w:rPr>
              <w:t>，群众满意度超</w:t>
            </w:r>
            <w:r>
              <w:rPr>
                <w:rStyle w:val="20"/>
                <w:rFonts w:eastAsia="宋体"/>
                <w:sz w:val="24"/>
                <w:szCs w:val="24"/>
              </w:rPr>
              <w:t>90%</w:t>
            </w:r>
          </w:p>
        </w:tc>
      </w:tr>
      <w:tr w14:paraId="2C638820">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E073">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176</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4544">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加强金融、房地产等经济领域风险防范</w:t>
            </w:r>
          </w:p>
        </w:tc>
      </w:tr>
      <w:tr w14:paraId="4F59CFEC">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2AB4">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17</w:t>
            </w:r>
            <w:r>
              <w:rPr>
                <w:rFonts w:hint="eastAsia" w:ascii="Times New Roman" w:hAnsi="Times New Roman" w:eastAsia="宋体" w:cs="Times New Roman"/>
                <w:color w:val="000000"/>
                <w:sz w:val="24"/>
              </w:rPr>
              <w:t>7</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2B33">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强化食品药品安全监管，完成食品快检</w:t>
            </w:r>
            <w:r>
              <w:rPr>
                <w:rStyle w:val="20"/>
                <w:rFonts w:eastAsia="宋体"/>
                <w:sz w:val="24"/>
                <w:szCs w:val="24"/>
              </w:rPr>
              <w:t>7000</w:t>
            </w:r>
            <w:r>
              <w:rPr>
                <w:rFonts w:ascii="Times New Roman" w:hAnsi="Times New Roman" w:eastAsia="方正仿宋_GBK" w:cs="Times New Roman"/>
                <w:color w:val="000000"/>
                <w:sz w:val="24"/>
              </w:rPr>
              <w:t>批次、食品监督抽检</w:t>
            </w:r>
            <w:r>
              <w:rPr>
                <w:rStyle w:val="20"/>
                <w:rFonts w:eastAsia="宋体"/>
                <w:sz w:val="24"/>
                <w:szCs w:val="24"/>
              </w:rPr>
              <w:t>4800</w:t>
            </w:r>
            <w:r>
              <w:rPr>
                <w:rFonts w:ascii="Times New Roman" w:hAnsi="Times New Roman" w:eastAsia="方正仿宋_GBK" w:cs="Times New Roman"/>
                <w:color w:val="000000"/>
                <w:sz w:val="24"/>
              </w:rPr>
              <w:t>批次，药品监督抽检</w:t>
            </w:r>
            <w:r>
              <w:rPr>
                <w:rStyle w:val="20"/>
                <w:rFonts w:hint="eastAsia" w:eastAsia="宋体"/>
                <w:sz w:val="24"/>
                <w:szCs w:val="24"/>
              </w:rPr>
              <w:t>180</w:t>
            </w:r>
            <w:r>
              <w:rPr>
                <w:rFonts w:ascii="Times New Roman" w:hAnsi="Times New Roman" w:eastAsia="方正仿宋_GBK" w:cs="Times New Roman"/>
                <w:color w:val="000000"/>
                <w:sz w:val="24"/>
              </w:rPr>
              <w:t>批次、化妆品监督抽检</w:t>
            </w:r>
            <w:r>
              <w:rPr>
                <w:rStyle w:val="20"/>
                <w:rFonts w:eastAsia="宋体"/>
                <w:sz w:val="24"/>
                <w:szCs w:val="24"/>
              </w:rPr>
              <w:t>40</w:t>
            </w:r>
            <w:r>
              <w:rPr>
                <w:rFonts w:ascii="Times New Roman" w:hAnsi="Times New Roman" w:eastAsia="方正仿宋_GBK" w:cs="Times New Roman"/>
                <w:color w:val="000000"/>
                <w:sz w:val="24"/>
              </w:rPr>
              <w:t>批次</w:t>
            </w:r>
          </w:p>
        </w:tc>
      </w:tr>
      <w:tr w14:paraId="6520A9D2">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03CB">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178</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67E2">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完成</w:t>
            </w:r>
            <w:r>
              <w:rPr>
                <w:rStyle w:val="20"/>
                <w:rFonts w:eastAsia="宋体"/>
                <w:sz w:val="24"/>
                <w:szCs w:val="24"/>
              </w:rPr>
              <w:t>30</w:t>
            </w:r>
            <w:r>
              <w:rPr>
                <w:rFonts w:ascii="Times New Roman" w:hAnsi="Times New Roman" w:eastAsia="方正仿宋_GBK" w:cs="Times New Roman"/>
                <w:color w:val="000000"/>
                <w:sz w:val="24"/>
              </w:rPr>
              <w:t>台</w:t>
            </w:r>
            <w:r>
              <w:rPr>
                <w:rStyle w:val="20"/>
                <w:rFonts w:eastAsia="宋体"/>
                <w:sz w:val="24"/>
                <w:szCs w:val="24"/>
              </w:rPr>
              <w:t>15</w:t>
            </w:r>
            <w:r>
              <w:rPr>
                <w:rFonts w:ascii="Times New Roman" w:hAnsi="Times New Roman" w:eastAsia="方正仿宋_GBK" w:cs="Times New Roman"/>
                <w:color w:val="000000"/>
                <w:sz w:val="24"/>
              </w:rPr>
              <w:t>年以上老旧住宅电梯预诊预警工作</w:t>
            </w:r>
          </w:p>
        </w:tc>
      </w:tr>
      <w:tr w14:paraId="4AE1BA8E">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433A7">
            <w:pPr>
              <w:widowControl/>
              <w:spacing w:line="360" w:lineRule="exact"/>
              <w:jc w:val="center"/>
              <w:textAlignment w:val="center"/>
              <w:rPr>
                <w:rFonts w:ascii="Times New Roman" w:hAnsi="Times New Roman" w:eastAsia="宋体" w:cs="Times New Roman"/>
                <w:color w:val="000000"/>
                <w:sz w:val="24"/>
              </w:rPr>
            </w:pPr>
            <w:r>
              <w:rPr>
                <w:rFonts w:ascii="Times New Roman" w:hAnsi="Times New Roman" w:eastAsia="宋体" w:cs="Times New Roman"/>
                <w:color w:val="000000"/>
                <w:sz w:val="24"/>
              </w:rPr>
              <w:t>179</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B56E">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万台特种设备事故率、死亡率</w:t>
            </w:r>
            <w:r>
              <w:rPr>
                <w:rStyle w:val="20"/>
                <w:rFonts w:eastAsia="宋体"/>
                <w:sz w:val="24"/>
                <w:szCs w:val="24"/>
              </w:rPr>
              <w:t>≤0.07</w:t>
            </w:r>
          </w:p>
        </w:tc>
      </w:tr>
      <w:tr w14:paraId="5343009F">
        <w:tblPrEx>
          <w:tblCellMar>
            <w:top w:w="0" w:type="dxa"/>
            <w:left w:w="108" w:type="dxa"/>
            <w:bottom w:w="0" w:type="dxa"/>
            <w:right w:w="108" w:type="dxa"/>
          </w:tblCellMar>
        </w:tblPrEx>
        <w:trPr>
          <w:trHeight w:val="300" w:hRule="atLeast"/>
          <w:jc w:val="center"/>
        </w:trPr>
        <w:tc>
          <w:tcPr>
            <w:tcW w:w="7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C82A">
            <w:pPr>
              <w:widowControl/>
              <w:spacing w:line="360" w:lineRule="exact"/>
              <w:jc w:val="center"/>
              <w:textAlignment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t>180</w:t>
            </w:r>
          </w:p>
        </w:tc>
        <w:tc>
          <w:tcPr>
            <w:tcW w:w="8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77D30">
            <w:pPr>
              <w:widowControl/>
              <w:spacing w:line="360" w:lineRule="exact"/>
              <w:jc w:val="left"/>
              <w:textAlignment w:val="center"/>
              <w:rPr>
                <w:rFonts w:ascii="Times New Roman" w:hAnsi="Times New Roman" w:eastAsia="宋体" w:cs="Times New Roman"/>
                <w:color w:val="000000"/>
                <w:sz w:val="24"/>
              </w:rPr>
            </w:pPr>
            <w:r>
              <w:rPr>
                <w:rFonts w:ascii="Times New Roman" w:hAnsi="Times New Roman" w:eastAsia="方正仿宋_GBK" w:cs="Times New Roman"/>
                <w:color w:val="000000"/>
                <w:sz w:val="24"/>
              </w:rPr>
              <w:t>网格化治理达标率、严重精神障碍患者服务管理率进入主城第一方阵</w:t>
            </w:r>
          </w:p>
        </w:tc>
      </w:tr>
    </w:tbl>
    <w:p w14:paraId="6E1D0C6E">
      <w:pPr>
        <w:rPr>
          <w:rFonts w:ascii="Times New Roman" w:hAnsi="Times New Roman" w:eastAsia="宋体" w:cs="Times New Roman"/>
        </w:rPr>
      </w:pPr>
    </w:p>
    <w:p w14:paraId="45A8F462">
      <w:pPr>
        <w:pStyle w:val="9"/>
        <w:spacing w:line="560" w:lineRule="exact"/>
        <w:rPr>
          <w:rFonts w:ascii="Times New Roman" w:hAnsi="Times New Roman" w:eastAsia="方正仿宋_GBK" w:cs="Times New Roman"/>
          <w:kern w:val="0"/>
          <w:sz w:val="32"/>
          <w:szCs w:val="32"/>
        </w:rPr>
        <w:sectPr>
          <w:pgSz w:w="11906" w:h="16838"/>
          <w:pgMar w:top="1701" w:right="1587" w:bottom="1701" w:left="1587" w:header="851" w:footer="1304" w:gutter="0"/>
          <w:pgNumType w:fmt="numberInDash"/>
          <w:cols w:space="0" w:num="1"/>
          <w:docGrid w:type="lines" w:linePitch="312" w:charSpace="0"/>
        </w:sectPr>
      </w:pPr>
    </w:p>
    <w:p w14:paraId="06506457">
      <w:pPr>
        <w:spacing w:line="560" w:lineRule="exact"/>
        <w:outlineLvl w:val="1"/>
        <w:rPr>
          <w:rFonts w:ascii="Times New Roman" w:hAnsi="Times New Roman" w:eastAsia="方正黑体_GBK" w:cs="Times New Roman"/>
          <w:sz w:val="32"/>
          <w:szCs w:val="32"/>
        </w:rPr>
      </w:pPr>
      <w:r>
        <w:rPr>
          <w:rFonts w:ascii="Times New Roman" w:hAnsi="Times New Roman" w:eastAsia="方正黑体_GBK" w:cs="Times New Roman"/>
          <w:color w:val="000000"/>
          <w:kern w:val="0"/>
          <w:sz w:val="32"/>
          <w:szCs w:val="32"/>
        </w:rPr>
        <w:t>附件2：</w:t>
      </w:r>
      <w:bookmarkStart w:id="0" w:name="RANGE!A1:C107"/>
      <w:bookmarkEnd w:id="0"/>
    </w:p>
    <w:p w14:paraId="13BC9BE4">
      <w:pPr>
        <w:snapToGrid w:val="0"/>
        <w:jc w:val="center"/>
        <w:outlineLvl w:val="2"/>
        <w:rPr>
          <w:rFonts w:ascii="Times New Roman" w:hAnsi="Times New Roman" w:eastAsia="方正黑体_GBK" w:cs="Times New Roman"/>
          <w:color w:val="000000"/>
          <w:kern w:val="0"/>
          <w:sz w:val="36"/>
          <w:szCs w:val="36"/>
        </w:rPr>
      </w:pPr>
      <w:r>
        <w:rPr>
          <w:rFonts w:ascii="Times New Roman" w:hAnsi="Times New Roman" w:eastAsia="方正黑体_GBK" w:cs="Times New Roman"/>
          <w:color w:val="000000"/>
          <w:kern w:val="0"/>
          <w:sz w:val="36"/>
          <w:szCs w:val="36"/>
        </w:rPr>
        <w:t>秦淮区2023年度重大项目一览表</w:t>
      </w:r>
    </w:p>
    <w:tbl>
      <w:tblPr>
        <w:tblStyle w:val="12"/>
        <w:tblW w:w="9658" w:type="dxa"/>
        <w:jc w:val="center"/>
        <w:tblLayout w:type="autofit"/>
        <w:tblCellMar>
          <w:top w:w="0" w:type="dxa"/>
          <w:left w:w="108" w:type="dxa"/>
          <w:bottom w:w="0" w:type="dxa"/>
          <w:right w:w="108" w:type="dxa"/>
        </w:tblCellMar>
      </w:tblPr>
      <w:tblGrid>
        <w:gridCol w:w="750"/>
        <w:gridCol w:w="5048"/>
        <w:gridCol w:w="3860"/>
      </w:tblGrid>
      <w:tr w14:paraId="192669D4">
        <w:tblPrEx>
          <w:tblCellMar>
            <w:top w:w="0" w:type="dxa"/>
            <w:left w:w="108" w:type="dxa"/>
            <w:bottom w:w="0" w:type="dxa"/>
            <w:right w:w="108" w:type="dxa"/>
          </w:tblCellMar>
        </w:tblPrEx>
        <w:trPr>
          <w:trHeight w:val="397" w:hRule="atLeast"/>
          <w:tblHeader/>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A1CD">
            <w:pPr>
              <w:widowControl/>
              <w:spacing w:line="360" w:lineRule="exact"/>
              <w:jc w:val="center"/>
              <w:textAlignment w:val="center"/>
              <w:rPr>
                <w:rFonts w:ascii="Times New Roman" w:hAnsi="Times New Roman" w:eastAsia="方正黑体_GBK" w:cs="Times New Roman"/>
                <w:color w:val="000000"/>
                <w:sz w:val="24"/>
              </w:rPr>
            </w:pPr>
            <w:r>
              <w:rPr>
                <w:rStyle w:val="20"/>
                <w:rFonts w:eastAsia="方正黑体_GBK"/>
                <w:sz w:val="24"/>
                <w:szCs w:val="24"/>
              </w:rPr>
              <w:t>序号</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95757">
            <w:pPr>
              <w:widowControl/>
              <w:spacing w:line="360" w:lineRule="exact"/>
              <w:jc w:val="center"/>
              <w:textAlignment w:val="center"/>
              <w:rPr>
                <w:rFonts w:ascii="Times New Roman" w:hAnsi="Times New Roman" w:eastAsia="方正黑体_GBK" w:cs="Times New Roman"/>
                <w:color w:val="000000"/>
                <w:sz w:val="24"/>
              </w:rPr>
            </w:pPr>
            <w:r>
              <w:rPr>
                <w:rStyle w:val="20"/>
                <w:rFonts w:eastAsia="方正黑体_GBK"/>
                <w:sz w:val="24"/>
                <w:szCs w:val="24"/>
              </w:rPr>
              <w:t>项目名称</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8360">
            <w:pPr>
              <w:widowControl/>
              <w:spacing w:line="360" w:lineRule="exact"/>
              <w:jc w:val="center"/>
              <w:textAlignment w:val="center"/>
              <w:rPr>
                <w:rFonts w:ascii="Times New Roman" w:hAnsi="Times New Roman" w:eastAsia="方正黑体_GBK" w:cs="Times New Roman"/>
                <w:color w:val="000000"/>
                <w:sz w:val="24"/>
              </w:rPr>
            </w:pPr>
            <w:r>
              <w:rPr>
                <w:rStyle w:val="20"/>
                <w:rFonts w:eastAsia="方正黑体_GBK"/>
                <w:sz w:val="24"/>
                <w:szCs w:val="24"/>
              </w:rPr>
              <w:t>年度形象进度目标</w:t>
            </w:r>
          </w:p>
        </w:tc>
      </w:tr>
      <w:tr w14:paraId="74B76BD6">
        <w:tblPrEx>
          <w:tblCellMar>
            <w:top w:w="0" w:type="dxa"/>
            <w:left w:w="108" w:type="dxa"/>
            <w:bottom w:w="0" w:type="dxa"/>
            <w:right w:w="108" w:type="dxa"/>
          </w:tblCellMar>
        </w:tblPrEx>
        <w:trPr>
          <w:trHeight w:val="300" w:hRule="atLeast"/>
          <w:jc w:val="center"/>
        </w:trPr>
        <w:tc>
          <w:tcPr>
            <w:tcW w:w="96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50448F">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b/>
                <w:bCs/>
                <w:color w:val="000000"/>
                <w:kern w:val="0"/>
                <w:sz w:val="24"/>
              </w:rPr>
              <w:t>一、新开工项目</w:t>
            </w:r>
          </w:p>
        </w:tc>
      </w:tr>
      <w:tr w14:paraId="45F52D34">
        <w:tblPrEx>
          <w:tblCellMar>
            <w:top w:w="0" w:type="dxa"/>
            <w:left w:w="108" w:type="dxa"/>
            <w:bottom w:w="0" w:type="dxa"/>
            <w:right w:w="108" w:type="dxa"/>
          </w:tblCellMar>
        </w:tblPrEx>
        <w:trPr>
          <w:trHeight w:val="300" w:hRule="atLeast"/>
          <w:jc w:val="center"/>
        </w:trPr>
        <w:tc>
          <w:tcPr>
            <w:tcW w:w="5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D0A251">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（一）产业类项目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8E7F31">
            <w:pPr>
              <w:widowControl/>
              <w:spacing w:line="360" w:lineRule="exact"/>
              <w:jc w:val="center"/>
              <w:rPr>
                <w:rFonts w:ascii="Times New Roman" w:hAnsi="Times New Roman" w:eastAsia="方正仿宋_GBK" w:cs="Times New Roman"/>
                <w:color w:val="000000"/>
                <w:sz w:val="24"/>
              </w:rPr>
            </w:pPr>
          </w:p>
        </w:tc>
      </w:tr>
      <w:tr w14:paraId="59DBFD69">
        <w:tblPrEx>
          <w:tblCellMar>
            <w:top w:w="0" w:type="dxa"/>
            <w:left w:w="108" w:type="dxa"/>
            <w:bottom w:w="0" w:type="dxa"/>
            <w:right w:w="108" w:type="dxa"/>
          </w:tblCellMar>
        </w:tblPrEx>
        <w:trPr>
          <w:trHeight w:val="39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1879">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35CD3">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南部新城校场大道以北商办中（NO.2022G27）</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A750">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274EBB91">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0885">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7E8E">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荷花塘片区城市更新项目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FD58A">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保留建筑修缮，实施片区更新</w:t>
            </w:r>
          </w:p>
        </w:tc>
      </w:tr>
      <w:tr w14:paraId="369B6C8C">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02C7">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F340">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万锦汇</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B4E1">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开工建设</w:t>
            </w:r>
          </w:p>
        </w:tc>
      </w:tr>
      <w:tr w14:paraId="4955DCE9">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2210B">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C33C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虎踞南路</w:t>
            </w:r>
            <w:r>
              <w:rPr>
                <w:rStyle w:val="19"/>
                <w:rFonts w:hint="default" w:ascii="Times New Roman" w:hAnsi="Times New Roman" w:eastAsia="方正仿宋_GBK" w:cs="Times New Roman"/>
                <w:b w:val="0"/>
                <w:sz w:val="24"/>
                <w:szCs w:val="24"/>
              </w:rPr>
              <w:t>9</w:t>
            </w:r>
            <w:r>
              <w:rPr>
                <w:rStyle w:val="29"/>
                <w:rFonts w:eastAsia="方正仿宋_GBK"/>
                <w:sz w:val="24"/>
                <w:szCs w:val="24"/>
              </w:rPr>
              <w:t>号</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2EA7">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7EB59A3E">
        <w:tblPrEx>
          <w:tblCellMar>
            <w:top w:w="0" w:type="dxa"/>
            <w:left w:w="108" w:type="dxa"/>
            <w:bottom w:w="0" w:type="dxa"/>
            <w:right w:w="108" w:type="dxa"/>
          </w:tblCellMar>
        </w:tblPrEx>
        <w:trPr>
          <w:trHeight w:val="300" w:hRule="atLeast"/>
          <w:jc w:val="center"/>
        </w:trPr>
        <w:tc>
          <w:tcPr>
            <w:tcW w:w="5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CF766">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（二）楼宇改造类项目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BB5D57">
            <w:pPr>
              <w:widowControl/>
              <w:spacing w:line="360" w:lineRule="exact"/>
              <w:jc w:val="left"/>
              <w:rPr>
                <w:rFonts w:ascii="Times New Roman" w:hAnsi="Times New Roman" w:eastAsia="方正仿宋_GBK" w:cs="Times New Roman"/>
                <w:color w:val="000000"/>
                <w:sz w:val="24"/>
              </w:rPr>
            </w:pPr>
          </w:p>
        </w:tc>
      </w:tr>
      <w:tr w14:paraId="55D6A165">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08C1">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CB726">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秦淮体育中心</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A65A">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开工建设</w:t>
            </w:r>
          </w:p>
        </w:tc>
      </w:tr>
      <w:tr w14:paraId="0F27257E">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FC591">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3F6D">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白鹭宾馆</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A82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开工建设</w:t>
            </w:r>
          </w:p>
        </w:tc>
      </w:tr>
      <w:tr w14:paraId="1693CBC0">
        <w:tblPrEx>
          <w:tblCellMar>
            <w:top w:w="0" w:type="dxa"/>
            <w:left w:w="108" w:type="dxa"/>
            <w:bottom w:w="0" w:type="dxa"/>
            <w:right w:w="108" w:type="dxa"/>
          </w:tblCellMar>
        </w:tblPrEx>
        <w:trPr>
          <w:trHeight w:val="31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1387">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844A">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夫子庙小吃城</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05FE8">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开工建设</w:t>
            </w:r>
          </w:p>
        </w:tc>
      </w:tr>
      <w:tr w14:paraId="4C0BE599">
        <w:tblPrEx>
          <w:tblCellMar>
            <w:top w:w="0" w:type="dxa"/>
            <w:left w:w="108" w:type="dxa"/>
            <w:bottom w:w="0" w:type="dxa"/>
            <w:right w:w="108" w:type="dxa"/>
          </w:tblCellMar>
        </w:tblPrEx>
        <w:trPr>
          <w:trHeight w:val="300" w:hRule="atLeast"/>
          <w:jc w:val="center"/>
        </w:trPr>
        <w:tc>
          <w:tcPr>
            <w:tcW w:w="5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8F980">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（三）房地产类项目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88BD">
            <w:pPr>
              <w:widowControl/>
              <w:spacing w:line="360" w:lineRule="exact"/>
              <w:jc w:val="left"/>
              <w:rPr>
                <w:rFonts w:ascii="Times New Roman" w:hAnsi="Times New Roman" w:eastAsia="方正仿宋_GBK" w:cs="Times New Roman"/>
                <w:color w:val="000000"/>
                <w:sz w:val="24"/>
              </w:rPr>
            </w:pPr>
          </w:p>
        </w:tc>
      </w:tr>
      <w:tr w14:paraId="347E43D6">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2F149">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8</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D2D7">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润鸿府（</w:t>
            </w:r>
            <w:r>
              <w:rPr>
                <w:rStyle w:val="19"/>
                <w:rFonts w:hint="default" w:ascii="Times New Roman" w:hAnsi="Times New Roman" w:eastAsia="方正仿宋_GBK" w:cs="Times New Roman"/>
                <w:b w:val="0"/>
                <w:sz w:val="24"/>
                <w:szCs w:val="24"/>
              </w:rPr>
              <w:t>NO.2022G24</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318F">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23" name="AutoShape_2"/>
                  <wp:cNvGraphicFramePr/>
                  <a:graphic xmlns:a="http://schemas.openxmlformats.org/drawingml/2006/main">
                    <a:graphicData uri="http://schemas.openxmlformats.org/drawingml/2006/picture">
                      <pic:pic xmlns:pic="http://schemas.openxmlformats.org/drawingml/2006/picture">
                        <pic:nvPicPr>
                          <pic:cNvPr id="123" name="AutoShape_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29" name="AutoShape_2_SpCnt_1"/>
                  <wp:cNvGraphicFramePr/>
                  <a:graphic xmlns:a="http://schemas.openxmlformats.org/drawingml/2006/main">
                    <a:graphicData uri="http://schemas.openxmlformats.org/drawingml/2006/picture">
                      <pic:pic xmlns:pic="http://schemas.openxmlformats.org/drawingml/2006/picture">
                        <pic:nvPicPr>
                          <pic:cNvPr id="129" name="AutoShape_2_SpCnt_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24" name="AutoShape_2_SpCnt_2"/>
                  <wp:cNvGraphicFramePr/>
                  <a:graphic xmlns:a="http://schemas.openxmlformats.org/drawingml/2006/main">
                    <a:graphicData uri="http://schemas.openxmlformats.org/drawingml/2006/picture">
                      <pic:pic xmlns:pic="http://schemas.openxmlformats.org/drawingml/2006/picture">
                        <pic:nvPicPr>
                          <pic:cNvPr id="124" name="AutoShape_2_SpCnt_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28" name="AutoShape_2_SpCnt_3"/>
                  <wp:cNvGraphicFramePr/>
                  <a:graphic xmlns:a="http://schemas.openxmlformats.org/drawingml/2006/main">
                    <a:graphicData uri="http://schemas.openxmlformats.org/drawingml/2006/picture">
                      <pic:pic xmlns:pic="http://schemas.openxmlformats.org/drawingml/2006/picture">
                        <pic:nvPicPr>
                          <pic:cNvPr id="128" name="AutoShape_2_SpCnt_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27" name="AutoShape_2_SpCnt_4"/>
                  <wp:cNvGraphicFramePr/>
                  <a:graphic xmlns:a="http://schemas.openxmlformats.org/drawingml/2006/main">
                    <a:graphicData uri="http://schemas.openxmlformats.org/drawingml/2006/picture">
                      <pic:pic xmlns:pic="http://schemas.openxmlformats.org/drawingml/2006/picture">
                        <pic:nvPicPr>
                          <pic:cNvPr id="127" name="AutoShape_2_SpCnt_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17" name="AutoShape_2_SpCnt_5"/>
                  <wp:cNvGraphicFramePr/>
                  <a:graphic xmlns:a="http://schemas.openxmlformats.org/drawingml/2006/main">
                    <a:graphicData uri="http://schemas.openxmlformats.org/drawingml/2006/picture">
                      <pic:pic xmlns:pic="http://schemas.openxmlformats.org/drawingml/2006/picture">
                        <pic:nvPicPr>
                          <pic:cNvPr id="117" name="AutoShape_2_SpCnt_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30" name="AutoShape_2_SpCnt_6"/>
                  <wp:cNvGraphicFramePr/>
                  <a:graphic xmlns:a="http://schemas.openxmlformats.org/drawingml/2006/main">
                    <a:graphicData uri="http://schemas.openxmlformats.org/drawingml/2006/picture">
                      <pic:pic xmlns:pic="http://schemas.openxmlformats.org/drawingml/2006/picture">
                        <pic:nvPicPr>
                          <pic:cNvPr id="130" name="AutoShape_2_SpCnt_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19" name="AutoShape_1"/>
                  <wp:cNvGraphicFramePr/>
                  <a:graphic xmlns:a="http://schemas.openxmlformats.org/drawingml/2006/main">
                    <a:graphicData uri="http://schemas.openxmlformats.org/drawingml/2006/picture">
                      <pic:pic xmlns:pic="http://schemas.openxmlformats.org/drawingml/2006/picture">
                        <pic:nvPicPr>
                          <pic:cNvPr id="119" name="AutoShape_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18" name="AutoShape_1_SpCnt_1"/>
                  <wp:cNvGraphicFramePr/>
                  <a:graphic xmlns:a="http://schemas.openxmlformats.org/drawingml/2006/main">
                    <a:graphicData uri="http://schemas.openxmlformats.org/drawingml/2006/picture">
                      <pic:pic xmlns:pic="http://schemas.openxmlformats.org/drawingml/2006/picture">
                        <pic:nvPicPr>
                          <pic:cNvPr id="118" name="AutoShape_1_SpCnt_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25" name="AutoShape_2_SpCnt_7"/>
                  <wp:cNvGraphicFramePr/>
                  <a:graphic xmlns:a="http://schemas.openxmlformats.org/drawingml/2006/main">
                    <a:graphicData uri="http://schemas.openxmlformats.org/drawingml/2006/picture">
                      <pic:pic xmlns:pic="http://schemas.openxmlformats.org/drawingml/2006/picture">
                        <pic:nvPicPr>
                          <pic:cNvPr id="125" name="AutoShape_2_SpCnt_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38" name="AutoShape_1_SpCnt_2"/>
                  <wp:cNvGraphicFramePr/>
                  <a:graphic xmlns:a="http://schemas.openxmlformats.org/drawingml/2006/main">
                    <a:graphicData uri="http://schemas.openxmlformats.org/drawingml/2006/picture">
                      <pic:pic xmlns:pic="http://schemas.openxmlformats.org/drawingml/2006/picture">
                        <pic:nvPicPr>
                          <pic:cNvPr id="138" name="AutoShape_1_SpCnt_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33" name="AutoShape_2_SpCnt_8"/>
                  <wp:cNvGraphicFramePr/>
                  <a:graphic xmlns:a="http://schemas.openxmlformats.org/drawingml/2006/main">
                    <a:graphicData uri="http://schemas.openxmlformats.org/drawingml/2006/picture">
                      <pic:pic xmlns:pic="http://schemas.openxmlformats.org/drawingml/2006/picture">
                        <pic:nvPicPr>
                          <pic:cNvPr id="133" name="AutoShape_2_SpCnt_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34" name="AutoShape_1_SpCnt_3"/>
                  <wp:cNvGraphicFramePr/>
                  <a:graphic xmlns:a="http://schemas.openxmlformats.org/drawingml/2006/main">
                    <a:graphicData uri="http://schemas.openxmlformats.org/drawingml/2006/picture">
                      <pic:pic xmlns:pic="http://schemas.openxmlformats.org/drawingml/2006/picture">
                        <pic:nvPicPr>
                          <pic:cNvPr id="134" name="AutoShape_1_SpCnt_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7257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26" name="AutoShape_2_SpCnt_9"/>
                  <wp:cNvGraphicFramePr/>
                  <a:graphic xmlns:a="http://schemas.openxmlformats.org/drawingml/2006/main">
                    <a:graphicData uri="http://schemas.openxmlformats.org/drawingml/2006/picture">
                      <pic:pic xmlns:pic="http://schemas.openxmlformats.org/drawingml/2006/picture">
                        <pic:nvPicPr>
                          <pic:cNvPr id="126" name="AutoShape_2_SpCnt_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7360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31" name="AutoShape_1_SpCnt_4"/>
                  <wp:cNvGraphicFramePr/>
                  <a:graphic xmlns:a="http://schemas.openxmlformats.org/drawingml/2006/main">
                    <a:graphicData uri="http://schemas.openxmlformats.org/drawingml/2006/picture">
                      <pic:pic xmlns:pic="http://schemas.openxmlformats.org/drawingml/2006/picture">
                        <pic:nvPicPr>
                          <pic:cNvPr id="131" name="AutoShape_1_SpCnt_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7462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32" name="AutoShape_2_SpCnt_10"/>
                  <wp:cNvGraphicFramePr/>
                  <a:graphic xmlns:a="http://schemas.openxmlformats.org/drawingml/2006/main">
                    <a:graphicData uri="http://schemas.openxmlformats.org/drawingml/2006/picture">
                      <pic:pic xmlns:pic="http://schemas.openxmlformats.org/drawingml/2006/picture">
                        <pic:nvPicPr>
                          <pic:cNvPr id="132" name="AutoShape_2_SpCnt_1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7564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35" name="AutoShape_1_SpCnt_5"/>
                  <wp:cNvGraphicFramePr/>
                  <a:graphic xmlns:a="http://schemas.openxmlformats.org/drawingml/2006/main">
                    <a:graphicData uri="http://schemas.openxmlformats.org/drawingml/2006/picture">
                      <pic:pic xmlns:pic="http://schemas.openxmlformats.org/drawingml/2006/picture">
                        <pic:nvPicPr>
                          <pic:cNvPr id="135" name="AutoShape_1_SpCnt_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7667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36" name="AutoShape_2_SpCnt_11"/>
                  <wp:cNvGraphicFramePr/>
                  <a:graphic xmlns:a="http://schemas.openxmlformats.org/drawingml/2006/main">
                    <a:graphicData uri="http://schemas.openxmlformats.org/drawingml/2006/picture">
                      <pic:pic xmlns:pic="http://schemas.openxmlformats.org/drawingml/2006/picture">
                        <pic:nvPicPr>
                          <pic:cNvPr id="136" name="AutoShape_2_SpCnt_1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7769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37" name="AutoShape_1_SpCnt_6"/>
                  <wp:cNvGraphicFramePr/>
                  <a:graphic xmlns:a="http://schemas.openxmlformats.org/drawingml/2006/main">
                    <a:graphicData uri="http://schemas.openxmlformats.org/drawingml/2006/picture">
                      <pic:pic xmlns:pic="http://schemas.openxmlformats.org/drawingml/2006/picture">
                        <pic:nvPicPr>
                          <pic:cNvPr id="137" name="AutoShape_1_SpCnt_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7872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20" name="AutoShape_2_SpCnt_12"/>
                  <wp:cNvGraphicFramePr/>
                  <a:graphic xmlns:a="http://schemas.openxmlformats.org/drawingml/2006/main">
                    <a:graphicData uri="http://schemas.openxmlformats.org/drawingml/2006/picture">
                      <pic:pic xmlns:pic="http://schemas.openxmlformats.org/drawingml/2006/picture">
                        <pic:nvPicPr>
                          <pic:cNvPr id="120" name="AutoShape_2_SpCnt_1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7974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21" name="AutoShape_1_SpCnt_7"/>
                  <wp:cNvGraphicFramePr/>
                  <a:graphic xmlns:a="http://schemas.openxmlformats.org/drawingml/2006/main">
                    <a:graphicData uri="http://schemas.openxmlformats.org/drawingml/2006/picture">
                      <pic:pic xmlns:pic="http://schemas.openxmlformats.org/drawingml/2006/picture">
                        <pic:nvPicPr>
                          <pic:cNvPr id="121" name="AutoShape_1_SpCnt_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8076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22" name="AutoShape_2_SpCnt_13"/>
                  <wp:cNvGraphicFramePr/>
                  <a:graphic xmlns:a="http://schemas.openxmlformats.org/drawingml/2006/main">
                    <a:graphicData uri="http://schemas.openxmlformats.org/drawingml/2006/picture">
                      <pic:pic xmlns:pic="http://schemas.openxmlformats.org/drawingml/2006/picture">
                        <pic:nvPicPr>
                          <pic:cNvPr id="122" name="AutoShape_2_SpCnt_1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8179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41" name="AutoShape_1_SpCnt_8"/>
                  <wp:cNvGraphicFramePr/>
                  <a:graphic xmlns:a="http://schemas.openxmlformats.org/drawingml/2006/main">
                    <a:graphicData uri="http://schemas.openxmlformats.org/drawingml/2006/picture">
                      <pic:pic xmlns:pic="http://schemas.openxmlformats.org/drawingml/2006/picture">
                        <pic:nvPicPr>
                          <pic:cNvPr id="141" name="AutoShape_1_SpCnt_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8281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45" name="AutoShape_1_SpCnt_9"/>
                  <wp:cNvGraphicFramePr/>
                  <a:graphic xmlns:a="http://schemas.openxmlformats.org/drawingml/2006/main">
                    <a:graphicData uri="http://schemas.openxmlformats.org/drawingml/2006/picture">
                      <pic:pic xmlns:pic="http://schemas.openxmlformats.org/drawingml/2006/picture">
                        <pic:nvPicPr>
                          <pic:cNvPr id="145" name="AutoShape_1_SpCnt_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8384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40" name="AutoShape_2_SpCnt_14"/>
                  <wp:cNvGraphicFramePr/>
                  <a:graphic xmlns:a="http://schemas.openxmlformats.org/drawingml/2006/main">
                    <a:graphicData uri="http://schemas.openxmlformats.org/drawingml/2006/picture">
                      <pic:pic xmlns:pic="http://schemas.openxmlformats.org/drawingml/2006/picture">
                        <pic:nvPicPr>
                          <pic:cNvPr id="140" name="AutoShape_2_SpCnt_1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46" name="AutoShape_2_SpCnt_15"/>
                  <wp:cNvGraphicFramePr/>
                  <a:graphic xmlns:a="http://schemas.openxmlformats.org/drawingml/2006/main">
                    <a:graphicData uri="http://schemas.openxmlformats.org/drawingml/2006/picture">
                      <pic:pic xmlns:pic="http://schemas.openxmlformats.org/drawingml/2006/picture">
                        <pic:nvPicPr>
                          <pic:cNvPr id="146" name="AutoShape_2_SpCnt_1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8588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47" name="AutoShape_1_SpCnt_10"/>
                  <wp:cNvGraphicFramePr/>
                  <a:graphic xmlns:a="http://schemas.openxmlformats.org/drawingml/2006/main">
                    <a:graphicData uri="http://schemas.openxmlformats.org/drawingml/2006/picture">
                      <pic:pic xmlns:pic="http://schemas.openxmlformats.org/drawingml/2006/picture">
                        <pic:nvPicPr>
                          <pic:cNvPr id="147" name="AutoShape_1_SpCnt_1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8691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42" name="AutoShape_2_SpCnt_16"/>
                  <wp:cNvGraphicFramePr/>
                  <a:graphic xmlns:a="http://schemas.openxmlformats.org/drawingml/2006/main">
                    <a:graphicData uri="http://schemas.openxmlformats.org/drawingml/2006/picture">
                      <pic:pic xmlns:pic="http://schemas.openxmlformats.org/drawingml/2006/picture">
                        <pic:nvPicPr>
                          <pic:cNvPr id="142" name="AutoShape_2_SpCnt_1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8793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49" name="AutoShape_1_SpCnt_11"/>
                  <wp:cNvGraphicFramePr/>
                  <a:graphic xmlns:a="http://schemas.openxmlformats.org/drawingml/2006/main">
                    <a:graphicData uri="http://schemas.openxmlformats.org/drawingml/2006/picture">
                      <pic:pic xmlns:pic="http://schemas.openxmlformats.org/drawingml/2006/picture">
                        <pic:nvPicPr>
                          <pic:cNvPr id="149" name="AutoShape_1_SpCnt_1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8896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48" name="AutoShape_2_SpCnt_17"/>
                  <wp:cNvGraphicFramePr/>
                  <a:graphic xmlns:a="http://schemas.openxmlformats.org/drawingml/2006/main">
                    <a:graphicData uri="http://schemas.openxmlformats.org/drawingml/2006/picture">
                      <pic:pic xmlns:pic="http://schemas.openxmlformats.org/drawingml/2006/picture">
                        <pic:nvPicPr>
                          <pic:cNvPr id="148" name="AutoShape_2_SpCnt_1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8998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43" name="AutoShape_1_SpCnt_12"/>
                  <wp:cNvGraphicFramePr/>
                  <a:graphic xmlns:a="http://schemas.openxmlformats.org/drawingml/2006/main">
                    <a:graphicData uri="http://schemas.openxmlformats.org/drawingml/2006/picture">
                      <pic:pic xmlns:pic="http://schemas.openxmlformats.org/drawingml/2006/picture">
                        <pic:nvPicPr>
                          <pic:cNvPr id="143" name="AutoShape_1_SpCnt_1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9100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54" name="AutoShape_2_SpCnt_18"/>
                  <wp:cNvGraphicFramePr/>
                  <a:graphic xmlns:a="http://schemas.openxmlformats.org/drawingml/2006/main">
                    <a:graphicData uri="http://schemas.openxmlformats.org/drawingml/2006/picture">
                      <pic:pic xmlns:pic="http://schemas.openxmlformats.org/drawingml/2006/picture">
                        <pic:nvPicPr>
                          <pic:cNvPr id="154" name="AutoShape_2_SpCnt_1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9203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55" name="AutoShape_1_SpCnt_13"/>
                  <wp:cNvGraphicFramePr/>
                  <a:graphic xmlns:a="http://schemas.openxmlformats.org/drawingml/2006/main">
                    <a:graphicData uri="http://schemas.openxmlformats.org/drawingml/2006/picture">
                      <pic:pic xmlns:pic="http://schemas.openxmlformats.org/drawingml/2006/picture">
                        <pic:nvPicPr>
                          <pic:cNvPr id="155" name="AutoShape_1_SpCnt_1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9305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44" name="AutoShape_1_SpCnt_14"/>
                  <wp:cNvGraphicFramePr/>
                  <a:graphic xmlns:a="http://schemas.openxmlformats.org/drawingml/2006/main">
                    <a:graphicData uri="http://schemas.openxmlformats.org/drawingml/2006/picture">
                      <pic:pic xmlns:pic="http://schemas.openxmlformats.org/drawingml/2006/picture">
                        <pic:nvPicPr>
                          <pic:cNvPr id="144" name="AutoShape_1_SpCnt_1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9408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50" name="AutoShape_2_SpCnt_19"/>
                  <wp:cNvGraphicFramePr/>
                  <a:graphic xmlns:a="http://schemas.openxmlformats.org/drawingml/2006/main">
                    <a:graphicData uri="http://schemas.openxmlformats.org/drawingml/2006/picture">
                      <pic:pic xmlns:pic="http://schemas.openxmlformats.org/drawingml/2006/picture">
                        <pic:nvPicPr>
                          <pic:cNvPr id="150" name="AutoShape_2_SpCnt_1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9510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51" name="AutoShape_1_SpCnt_15"/>
                  <wp:cNvGraphicFramePr/>
                  <a:graphic xmlns:a="http://schemas.openxmlformats.org/drawingml/2006/main">
                    <a:graphicData uri="http://schemas.openxmlformats.org/drawingml/2006/picture">
                      <pic:pic xmlns:pic="http://schemas.openxmlformats.org/drawingml/2006/picture">
                        <pic:nvPicPr>
                          <pic:cNvPr id="151" name="AutoShape_1_SpCnt_1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9612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52" name="AutoShape_2_SpCnt_20"/>
                  <wp:cNvGraphicFramePr/>
                  <a:graphic xmlns:a="http://schemas.openxmlformats.org/drawingml/2006/main">
                    <a:graphicData uri="http://schemas.openxmlformats.org/drawingml/2006/picture">
                      <pic:pic xmlns:pic="http://schemas.openxmlformats.org/drawingml/2006/picture">
                        <pic:nvPicPr>
                          <pic:cNvPr id="152" name="AutoShape_2_SpCnt_2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9715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53" name="AutoShape_1_SpCnt_16"/>
                  <wp:cNvGraphicFramePr/>
                  <a:graphic xmlns:a="http://schemas.openxmlformats.org/drawingml/2006/main">
                    <a:graphicData uri="http://schemas.openxmlformats.org/drawingml/2006/picture">
                      <pic:pic xmlns:pic="http://schemas.openxmlformats.org/drawingml/2006/picture">
                        <pic:nvPicPr>
                          <pic:cNvPr id="153" name="AutoShape_1_SpCnt_1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9817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39" name="AutoShape_2_SpCnt_21"/>
                  <wp:cNvGraphicFramePr/>
                  <a:graphic xmlns:a="http://schemas.openxmlformats.org/drawingml/2006/main">
                    <a:graphicData uri="http://schemas.openxmlformats.org/drawingml/2006/picture">
                      <pic:pic xmlns:pic="http://schemas.openxmlformats.org/drawingml/2006/picture">
                        <pic:nvPicPr>
                          <pic:cNvPr id="139" name="AutoShape_2_SpCnt_2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69920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13" name="AutoShape_1_SpCnt_17"/>
                  <wp:cNvGraphicFramePr/>
                  <a:graphic xmlns:a="http://schemas.openxmlformats.org/drawingml/2006/main">
                    <a:graphicData uri="http://schemas.openxmlformats.org/drawingml/2006/picture">
                      <pic:pic xmlns:pic="http://schemas.openxmlformats.org/drawingml/2006/picture">
                        <pic:nvPicPr>
                          <pic:cNvPr id="113" name="AutoShape_1_SpCnt_1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0022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96" name="AutoShape_2_SpCnt_22"/>
                  <wp:cNvGraphicFramePr/>
                  <a:graphic xmlns:a="http://schemas.openxmlformats.org/drawingml/2006/main">
                    <a:graphicData uri="http://schemas.openxmlformats.org/drawingml/2006/picture">
                      <pic:pic xmlns:pic="http://schemas.openxmlformats.org/drawingml/2006/picture">
                        <pic:nvPicPr>
                          <pic:cNvPr id="96" name="AutoShape_2_SpCnt_2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0124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94" name="AutoShape_1_SpCnt_18"/>
                  <wp:cNvGraphicFramePr/>
                  <a:graphic xmlns:a="http://schemas.openxmlformats.org/drawingml/2006/main">
                    <a:graphicData uri="http://schemas.openxmlformats.org/drawingml/2006/picture">
                      <pic:pic xmlns:pic="http://schemas.openxmlformats.org/drawingml/2006/picture">
                        <pic:nvPicPr>
                          <pic:cNvPr id="94" name="AutoShape_1_SpCnt_1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0227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99" name="AutoShape_2_SpCnt_23"/>
                  <wp:cNvGraphicFramePr/>
                  <a:graphic xmlns:a="http://schemas.openxmlformats.org/drawingml/2006/main">
                    <a:graphicData uri="http://schemas.openxmlformats.org/drawingml/2006/picture">
                      <pic:pic xmlns:pic="http://schemas.openxmlformats.org/drawingml/2006/picture">
                        <pic:nvPicPr>
                          <pic:cNvPr id="99" name="AutoShape_2_SpCnt_2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0329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01" name="AutoShape_1_SpCnt_19"/>
                  <wp:cNvGraphicFramePr/>
                  <a:graphic xmlns:a="http://schemas.openxmlformats.org/drawingml/2006/main">
                    <a:graphicData uri="http://schemas.openxmlformats.org/drawingml/2006/picture">
                      <pic:pic xmlns:pic="http://schemas.openxmlformats.org/drawingml/2006/picture">
                        <pic:nvPicPr>
                          <pic:cNvPr id="101" name="AutoShape_1_SpCnt_1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0432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04" name="AutoShape_2_SpCnt_24"/>
                  <wp:cNvGraphicFramePr/>
                  <a:graphic xmlns:a="http://schemas.openxmlformats.org/drawingml/2006/main">
                    <a:graphicData uri="http://schemas.openxmlformats.org/drawingml/2006/picture">
                      <pic:pic xmlns:pic="http://schemas.openxmlformats.org/drawingml/2006/picture">
                        <pic:nvPicPr>
                          <pic:cNvPr id="104" name="AutoShape_2_SpCnt_2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0534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97" name="AutoShape_1_SpCnt_20"/>
                  <wp:cNvGraphicFramePr/>
                  <a:graphic xmlns:a="http://schemas.openxmlformats.org/drawingml/2006/main">
                    <a:graphicData uri="http://schemas.openxmlformats.org/drawingml/2006/picture">
                      <pic:pic xmlns:pic="http://schemas.openxmlformats.org/drawingml/2006/picture">
                        <pic:nvPicPr>
                          <pic:cNvPr id="97" name="AutoShape_1_SpCnt_2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0636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90" name="AutoShape_2_SpCnt_25"/>
                  <wp:cNvGraphicFramePr/>
                  <a:graphic xmlns:a="http://schemas.openxmlformats.org/drawingml/2006/main">
                    <a:graphicData uri="http://schemas.openxmlformats.org/drawingml/2006/picture">
                      <pic:pic xmlns:pic="http://schemas.openxmlformats.org/drawingml/2006/picture">
                        <pic:nvPicPr>
                          <pic:cNvPr id="90" name="AutoShape_2_SpCnt_2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0739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88" name="AutoShape_1_SpCnt_21"/>
                  <wp:cNvGraphicFramePr/>
                  <a:graphic xmlns:a="http://schemas.openxmlformats.org/drawingml/2006/main">
                    <a:graphicData uri="http://schemas.openxmlformats.org/drawingml/2006/picture">
                      <pic:pic xmlns:pic="http://schemas.openxmlformats.org/drawingml/2006/picture">
                        <pic:nvPicPr>
                          <pic:cNvPr id="88" name="AutoShape_1_SpCnt_2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0841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89" name="AutoShape_2_SpCnt_26"/>
                  <wp:cNvGraphicFramePr/>
                  <a:graphic xmlns:a="http://schemas.openxmlformats.org/drawingml/2006/main">
                    <a:graphicData uri="http://schemas.openxmlformats.org/drawingml/2006/picture">
                      <pic:pic xmlns:pic="http://schemas.openxmlformats.org/drawingml/2006/picture">
                        <pic:nvPicPr>
                          <pic:cNvPr id="89" name="AutoShape_2_SpCnt_2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0944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00" name="AutoShape_1_SpCnt_22"/>
                  <wp:cNvGraphicFramePr/>
                  <a:graphic xmlns:a="http://schemas.openxmlformats.org/drawingml/2006/main">
                    <a:graphicData uri="http://schemas.openxmlformats.org/drawingml/2006/picture">
                      <pic:pic xmlns:pic="http://schemas.openxmlformats.org/drawingml/2006/picture">
                        <pic:nvPicPr>
                          <pic:cNvPr id="100" name="AutoShape_1_SpCnt_2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1046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03" name="AutoShape_2_SpCnt_27"/>
                  <wp:cNvGraphicFramePr/>
                  <a:graphic xmlns:a="http://schemas.openxmlformats.org/drawingml/2006/main">
                    <a:graphicData uri="http://schemas.openxmlformats.org/drawingml/2006/picture">
                      <pic:pic xmlns:pic="http://schemas.openxmlformats.org/drawingml/2006/picture">
                        <pic:nvPicPr>
                          <pic:cNvPr id="103" name="AutoShape_2_SpCnt_2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1148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92" name="AutoShape_1_SpCnt_23"/>
                  <wp:cNvGraphicFramePr/>
                  <a:graphic xmlns:a="http://schemas.openxmlformats.org/drawingml/2006/main">
                    <a:graphicData uri="http://schemas.openxmlformats.org/drawingml/2006/picture">
                      <pic:pic xmlns:pic="http://schemas.openxmlformats.org/drawingml/2006/picture">
                        <pic:nvPicPr>
                          <pic:cNvPr id="92" name="AutoShape_1_SpCnt_2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1251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02" name="AutoShape_2_SpCnt_28"/>
                  <wp:cNvGraphicFramePr/>
                  <a:graphic xmlns:a="http://schemas.openxmlformats.org/drawingml/2006/main">
                    <a:graphicData uri="http://schemas.openxmlformats.org/drawingml/2006/picture">
                      <pic:pic xmlns:pic="http://schemas.openxmlformats.org/drawingml/2006/picture">
                        <pic:nvPicPr>
                          <pic:cNvPr id="102" name="AutoShape_2_SpCnt_2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1353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91" name="AutoShape_1_SpCnt_24"/>
                  <wp:cNvGraphicFramePr/>
                  <a:graphic xmlns:a="http://schemas.openxmlformats.org/drawingml/2006/main">
                    <a:graphicData uri="http://schemas.openxmlformats.org/drawingml/2006/picture">
                      <pic:pic xmlns:pic="http://schemas.openxmlformats.org/drawingml/2006/picture">
                        <pic:nvPicPr>
                          <pic:cNvPr id="91" name="AutoShape_1_SpCnt_2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1456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14" name="AutoShape_2_SpCnt_29"/>
                  <wp:cNvGraphicFramePr/>
                  <a:graphic xmlns:a="http://schemas.openxmlformats.org/drawingml/2006/main">
                    <a:graphicData uri="http://schemas.openxmlformats.org/drawingml/2006/picture">
                      <pic:pic xmlns:pic="http://schemas.openxmlformats.org/drawingml/2006/picture">
                        <pic:nvPicPr>
                          <pic:cNvPr id="114" name="AutoShape_2_SpCnt_2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1558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15" name="AutoShape_1_SpCnt_25"/>
                  <wp:cNvGraphicFramePr/>
                  <a:graphic xmlns:a="http://schemas.openxmlformats.org/drawingml/2006/main">
                    <a:graphicData uri="http://schemas.openxmlformats.org/drawingml/2006/picture">
                      <pic:pic xmlns:pic="http://schemas.openxmlformats.org/drawingml/2006/picture">
                        <pic:nvPicPr>
                          <pic:cNvPr id="115" name="AutoShape_1_SpCnt_2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1660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08" name="AutoShape_2_SpCnt_30"/>
                  <wp:cNvGraphicFramePr/>
                  <a:graphic xmlns:a="http://schemas.openxmlformats.org/drawingml/2006/main">
                    <a:graphicData uri="http://schemas.openxmlformats.org/drawingml/2006/picture">
                      <pic:pic xmlns:pic="http://schemas.openxmlformats.org/drawingml/2006/picture">
                        <pic:nvPicPr>
                          <pic:cNvPr id="108" name="AutoShape_2_SpCnt_3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1763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87" name="AutoShape_1_SpCnt_26"/>
                  <wp:cNvGraphicFramePr/>
                  <a:graphic xmlns:a="http://schemas.openxmlformats.org/drawingml/2006/main">
                    <a:graphicData uri="http://schemas.openxmlformats.org/drawingml/2006/picture">
                      <pic:pic xmlns:pic="http://schemas.openxmlformats.org/drawingml/2006/picture">
                        <pic:nvPicPr>
                          <pic:cNvPr id="87" name="AutoShape_1_SpCnt_2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1865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05" name="AutoShape_2_SpCnt_31"/>
                  <wp:cNvGraphicFramePr/>
                  <a:graphic xmlns:a="http://schemas.openxmlformats.org/drawingml/2006/main">
                    <a:graphicData uri="http://schemas.openxmlformats.org/drawingml/2006/picture">
                      <pic:pic xmlns:pic="http://schemas.openxmlformats.org/drawingml/2006/picture">
                        <pic:nvPicPr>
                          <pic:cNvPr id="105" name="AutoShape_2_SpCnt_3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1968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93" name="AutoShape_1_SpCnt_27"/>
                  <wp:cNvGraphicFramePr/>
                  <a:graphic xmlns:a="http://schemas.openxmlformats.org/drawingml/2006/main">
                    <a:graphicData uri="http://schemas.openxmlformats.org/drawingml/2006/picture">
                      <pic:pic xmlns:pic="http://schemas.openxmlformats.org/drawingml/2006/picture">
                        <pic:nvPicPr>
                          <pic:cNvPr id="93" name="AutoShape_1_SpCnt_2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2070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06" name="AutoShape_2_SpCnt_32"/>
                  <wp:cNvGraphicFramePr/>
                  <a:graphic xmlns:a="http://schemas.openxmlformats.org/drawingml/2006/main">
                    <a:graphicData uri="http://schemas.openxmlformats.org/drawingml/2006/picture">
                      <pic:pic xmlns:pic="http://schemas.openxmlformats.org/drawingml/2006/picture">
                        <pic:nvPicPr>
                          <pic:cNvPr id="106" name="AutoShape_2_SpCnt_3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2172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95" name="AutoShape_1_SpCnt_28"/>
                  <wp:cNvGraphicFramePr/>
                  <a:graphic xmlns:a="http://schemas.openxmlformats.org/drawingml/2006/main">
                    <a:graphicData uri="http://schemas.openxmlformats.org/drawingml/2006/picture">
                      <pic:pic xmlns:pic="http://schemas.openxmlformats.org/drawingml/2006/picture">
                        <pic:nvPicPr>
                          <pic:cNvPr id="95" name="AutoShape_1_SpCnt_2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2275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16" name="AutoShape_2_SpCnt_33"/>
                  <wp:cNvGraphicFramePr/>
                  <a:graphic xmlns:a="http://schemas.openxmlformats.org/drawingml/2006/main">
                    <a:graphicData uri="http://schemas.openxmlformats.org/drawingml/2006/picture">
                      <pic:pic xmlns:pic="http://schemas.openxmlformats.org/drawingml/2006/picture">
                        <pic:nvPicPr>
                          <pic:cNvPr id="116" name="AutoShape_2_SpCnt_3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2377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07" name="AutoShape_1_SpCnt_29"/>
                  <wp:cNvGraphicFramePr/>
                  <a:graphic xmlns:a="http://schemas.openxmlformats.org/drawingml/2006/main">
                    <a:graphicData uri="http://schemas.openxmlformats.org/drawingml/2006/picture">
                      <pic:pic xmlns:pic="http://schemas.openxmlformats.org/drawingml/2006/picture">
                        <pic:nvPicPr>
                          <pic:cNvPr id="107" name="AutoShape_1_SpCnt_2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2480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09" name="AutoShape_2_SpCnt_34"/>
                  <wp:cNvGraphicFramePr/>
                  <a:graphic xmlns:a="http://schemas.openxmlformats.org/drawingml/2006/main">
                    <a:graphicData uri="http://schemas.openxmlformats.org/drawingml/2006/picture">
                      <pic:pic xmlns:pic="http://schemas.openxmlformats.org/drawingml/2006/picture">
                        <pic:nvPicPr>
                          <pic:cNvPr id="109" name="AutoShape_2_SpCnt_3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2582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10" name="AutoShape_1_SpCnt_30"/>
                  <wp:cNvGraphicFramePr/>
                  <a:graphic xmlns:a="http://schemas.openxmlformats.org/drawingml/2006/main">
                    <a:graphicData uri="http://schemas.openxmlformats.org/drawingml/2006/picture">
                      <pic:pic xmlns:pic="http://schemas.openxmlformats.org/drawingml/2006/picture">
                        <pic:nvPicPr>
                          <pic:cNvPr id="110" name="AutoShape_1_SpCnt_3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2684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85" name="AutoShape_2_SpCnt_35"/>
                  <wp:cNvGraphicFramePr/>
                  <a:graphic xmlns:a="http://schemas.openxmlformats.org/drawingml/2006/main">
                    <a:graphicData uri="http://schemas.openxmlformats.org/drawingml/2006/picture">
                      <pic:pic xmlns:pic="http://schemas.openxmlformats.org/drawingml/2006/picture">
                        <pic:nvPicPr>
                          <pic:cNvPr id="85" name="AutoShape_2_SpCnt_3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2787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11" name="AutoShape_1_SpCnt_31"/>
                  <wp:cNvGraphicFramePr/>
                  <a:graphic xmlns:a="http://schemas.openxmlformats.org/drawingml/2006/main">
                    <a:graphicData uri="http://schemas.openxmlformats.org/drawingml/2006/picture">
                      <pic:pic xmlns:pic="http://schemas.openxmlformats.org/drawingml/2006/picture">
                        <pic:nvPicPr>
                          <pic:cNvPr id="111" name="AutoShape_1_SpCnt_3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2889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98" name="AutoShape_1_SpCnt_32"/>
                  <wp:cNvGraphicFramePr/>
                  <a:graphic xmlns:a="http://schemas.openxmlformats.org/drawingml/2006/main">
                    <a:graphicData uri="http://schemas.openxmlformats.org/drawingml/2006/picture">
                      <pic:pic xmlns:pic="http://schemas.openxmlformats.org/drawingml/2006/picture">
                        <pic:nvPicPr>
                          <pic:cNvPr id="98" name="AutoShape_1_SpCnt_3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2992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12" name="AutoShape_2_SpCnt_36"/>
                  <wp:cNvGraphicFramePr/>
                  <a:graphic xmlns:a="http://schemas.openxmlformats.org/drawingml/2006/main">
                    <a:graphicData uri="http://schemas.openxmlformats.org/drawingml/2006/picture">
                      <pic:pic xmlns:pic="http://schemas.openxmlformats.org/drawingml/2006/picture">
                        <pic:nvPicPr>
                          <pic:cNvPr id="112" name="AutoShape_2_SpCnt_3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3094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86" name="AutoShape_1_SpCnt_33"/>
                  <wp:cNvGraphicFramePr/>
                  <a:graphic xmlns:a="http://schemas.openxmlformats.org/drawingml/2006/main">
                    <a:graphicData uri="http://schemas.openxmlformats.org/drawingml/2006/picture">
                      <pic:pic xmlns:pic="http://schemas.openxmlformats.org/drawingml/2006/picture">
                        <pic:nvPicPr>
                          <pic:cNvPr id="86" name="AutoShape_1_SpCnt_3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3196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81" name="AutoShape_2_SpCnt_37"/>
                  <wp:cNvGraphicFramePr/>
                  <a:graphic xmlns:a="http://schemas.openxmlformats.org/drawingml/2006/main">
                    <a:graphicData uri="http://schemas.openxmlformats.org/drawingml/2006/picture">
                      <pic:pic xmlns:pic="http://schemas.openxmlformats.org/drawingml/2006/picture">
                        <pic:nvPicPr>
                          <pic:cNvPr id="81" name="AutoShape_2_SpCnt_3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3299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66" name="AutoShape_1_SpCnt_34"/>
                  <wp:cNvGraphicFramePr/>
                  <a:graphic xmlns:a="http://schemas.openxmlformats.org/drawingml/2006/main">
                    <a:graphicData uri="http://schemas.openxmlformats.org/drawingml/2006/picture">
                      <pic:pic xmlns:pic="http://schemas.openxmlformats.org/drawingml/2006/picture">
                        <pic:nvPicPr>
                          <pic:cNvPr id="66" name="AutoShape_1_SpCnt_3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3401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76" name="AutoShape_2_SpCnt_38"/>
                  <wp:cNvGraphicFramePr/>
                  <a:graphic xmlns:a="http://schemas.openxmlformats.org/drawingml/2006/main">
                    <a:graphicData uri="http://schemas.openxmlformats.org/drawingml/2006/picture">
                      <pic:pic xmlns:pic="http://schemas.openxmlformats.org/drawingml/2006/picture">
                        <pic:nvPicPr>
                          <pic:cNvPr id="76" name="AutoShape_2_SpCnt_3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3504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72" name="AutoShape_1_SpCnt_35"/>
                  <wp:cNvGraphicFramePr/>
                  <a:graphic xmlns:a="http://schemas.openxmlformats.org/drawingml/2006/main">
                    <a:graphicData uri="http://schemas.openxmlformats.org/drawingml/2006/picture">
                      <pic:pic xmlns:pic="http://schemas.openxmlformats.org/drawingml/2006/picture">
                        <pic:nvPicPr>
                          <pic:cNvPr id="72" name="AutoShape_1_SpCnt_3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3606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74" name="AutoShape_2_SpCnt_39"/>
                  <wp:cNvGraphicFramePr/>
                  <a:graphic xmlns:a="http://schemas.openxmlformats.org/drawingml/2006/main">
                    <a:graphicData uri="http://schemas.openxmlformats.org/drawingml/2006/picture">
                      <pic:pic xmlns:pic="http://schemas.openxmlformats.org/drawingml/2006/picture">
                        <pic:nvPicPr>
                          <pic:cNvPr id="74" name="AutoShape_2_SpCnt_3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3708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78" name="AutoShape_1_SpCnt_36"/>
                  <wp:cNvGraphicFramePr/>
                  <a:graphic xmlns:a="http://schemas.openxmlformats.org/drawingml/2006/main">
                    <a:graphicData uri="http://schemas.openxmlformats.org/drawingml/2006/picture">
                      <pic:pic xmlns:pic="http://schemas.openxmlformats.org/drawingml/2006/picture">
                        <pic:nvPicPr>
                          <pic:cNvPr id="78" name="AutoShape_1_SpCnt_3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3811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77" name="AutoShape_2_SpCnt_40"/>
                  <wp:cNvGraphicFramePr/>
                  <a:graphic xmlns:a="http://schemas.openxmlformats.org/drawingml/2006/main">
                    <a:graphicData uri="http://schemas.openxmlformats.org/drawingml/2006/picture">
                      <pic:pic xmlns:pic="http://schemas.openxmlformats.org/drawingml/2006/picture">
                        <pic:nvPicPr>
                          <pic:cNvPr id="77" name="AutoShape_2_SpCnt_4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3913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79" name="AutoShape_1_SpCnt_37"/>
                  <wp:cNvGraphicFramePr/>
                  <a:graphic xmlns:a="http://schemas.openxmlformats.org/drawingml/2006/main">
                    <a:graphicData uri="http://schemas.openxmlformats.org/drawingml/2006/picture">
                      <pic:pic xmlns:pic="http://schemas.openxmlformats.org/drawingml/2006/picture">
                        <pic:nvPicPr>
                          <pic:cNvPr id="79" name="AutoShape_1_SpCnt_3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4016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67" name="AutoShape_1_SpCnt_38"/>
                  <wp:cNvGraphicFramePr/>
                  <a:graphic xmlns:a="http://schemas.openxmlformats.org/drawingml/2006/main">
                    <a:graphicData uri="http://schemas.openxmlformats.org/drawingml/2006/picture">
                      <pic:pic xmlns:pic="http://schemas.openxmlformats.org/drawingml/2006/picture">
                        <pic:nvPicPr>
                          <pic:cNvPr id="67" name="AutoShape_1_SpCnt_3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4118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80" name="AutoShape_2_SpCnt_41"/>
                  <wp:cNvGraphicFramePr/>
                  <a:graphic xmlns:a="http://schemas.openxmlformats.org/drawingml/2006/main">
                    <a:graphicData uri="http://schemas.openxmlformats.org/drawingml/2006/picture">
                      <pic:pic xmlns:pic="http://schemas.openxmlformats.org/drawingml/2006/picture">
                        <pic:nvPicPr>
                          <pic:cNvPr id="80" name="AutoShape_2_SpCnt_4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4220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58" name="AutoShape_1_SpCnt_39"/>
                  <wp:cNvGraphicFramePr/>
                  <a:graphic xmlns:a="http://schemas.openxmlformats.org/drawingml/2006/main">
                    <a:graphicData uri="http://schemas.openxmlformats.org/drawingml/2006/picture">
                      <pic:pic xmlns:pic="http://schemas.openxmlformats.org/drawingml/2006/picture">
                        <pic:nvPicPr>
                          <pic:cNvPr id="58" name="AutoShape_1_SpCnt_3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4323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82" name="AutoShape_2_SpCnt_42"/>
                  <wp:cNvGraphicFramePr/>
                  <a:graphic xmlns:a="http://schemas.openxmlformats.org/drawingml/2006/main">
                    <a:graphicData uri="http://schemas.openxmlformats.org/drawingml/2006/picture">
                      <pic:pic xmlns:pic="http://schemas.openxmlformats.org/drawingml/2006/picture">
                        <pic:nvPicPr>
                          <pic:cNvPr id="82" name="AutoShape_2_SpCnt_4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4425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65" name="AutoShape_1_SpCnt_40"/>
                  <wp:cNvGraphicFramePr/>
                  <a:graphic xmlns:a="http://schemas.openxmlformats.org/drawingml/2006/main">
                    <a:graphicData uri="http://schemas.openxmlformats.org/drawingml/2006/picture">
                      <pic:pic xmlns:pic="http://schemas.openxmlformats.org/drawingml/2006/picture">
                        <pic:nvPicPr>
                          <pic:cNvPr id="65" name="AutoShape_1_SpCnt_4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4528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83" name="AutoShape_2_SpCnt_43"/>
                  <wp:cNvGraphicFramePr/>
                  <a:graphic xmlns:a="http://schemas.openxmlformats.org/drawingml/2006/main">
                    <a:graphicData uri="http://schemas.openxmlformats.org/drawingml/2006/picture">
                      <pic:pic xmlns:pic="http://schemas.openxmlformats.org/drawingml/2006/picture">
                        <pic:nvPicPr>
                          <pic:cNvPr id="83" name="AutoShape_2_SpCnt_4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4630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84" name="AutoShape_1_SpCnt_41"/>
                  <wp:cNvGraphicFramePr/>
                  <a:graphic xmlns:a="http://schemas.openxmlformats.org/drawingml/2006/main">
                    <a:graphicData uri="http://schemas.openxmlformats.org/drawingml/2006/picture">
                      <pic:pic xmlns:pic="http://schemas.openxmlformats.org/drawingml/2006/picture">
                        <pic:nvPicPr>
                          <pic:cNvPr id="84" name="AutoShape_1_SpCnt_4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4732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71" name="AutoShape_2_SpCnt_44"/>
                  <wp:cNvGraphicFramePr/>
                  <a:graphic xmlns:a="http://schemas.openxmlformats.org/drawingml/2006/main">
                    <a:graphicData uri="http://schemas.openxmlformats.org/drawingml/2006/picture">
                      <pic:pic xmlns:pic="http://schemas.openxmlformats.org/drawingml/2006/picture">
                        <pic:nvPicPr>
                          <pic:cNvPr id="71" name="AutoShape_2_SpCnt_4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4835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68" name="AutoShape_1_SpCnt_42"/>
                  <wp:cNvGraphicFramePr/>
                  <a:graphic xmlns:a="http://schemas.openxmlformats.org/drawingml/2006/main">
                    <a:graphicData uri="http://schemas.openxmlformats.org/drawingml/2006/picture">
                      <pic:pic xmlns:pic="http://schemas.openxmlformats.org/drawingml/2006/picture">
                        <pic:nvPicPr>
                          <pic:cNvPr id="68" name="AutoShape_1_SpCnt_4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4937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59" name="AutoShape_2_SpCnt_45"/>
                  <wp:cNvGraphicFramePr/>
                  <a:graphic xmlns:a="http://schemas.openxmlformats.org/drawingml/2006/main">
                    <a:graphicData uri="http://schemas.openxmlformats.org/drawingml/2006/picture">
                      <pic:pic xmlns:pic="http://schemas.openxmlformats.org/drawingml/2006/picture">
                        <pic:nvPicPr>
                          <pic:cNvPr id="59" name="AutoShape_2_SpCnt_4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5040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75" name="AutoShape_1_SpCnt_43"/>
                  <wp:cNvGraphicFramePr/>
                  <a:graphic xmlns:a="http://schemas.openxmlformats.org/drawingml/2006/main">
                    <a:graphicData uri="http://schemas.openxmlformats.org/drawingml/2006/picture">
                      <pic:pic xmlns:pic="http://schemas.openxmlformats.org/drawingml/2006/picture">
                        <pic:nvPicPr>
                          <pic:cNvPr id="75" name="AutoShape_1_SpCnt_4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5142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60" name="AutoShape_2_SpCnt_46"/>
                  <wp:cNvGraphicFramePr/>
                  <a:graphic xmlns:a="http://schemas.openxmlformats.org/drawingml/2006/main">
                    <a:graphicData uri="http://schemas.openxmlformats.org/drawingml/2006/picture">
                      <pic:pic xmlns:pic="http://schemas.openxmlformats.org/drawingml/2006/picture">
                        <pic:nvPicPr>
                          <pic:cNvPr id="60" name="AutoShape_2_SpCnt_4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5244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61" name="AutoShape_1_SpCnt_44"/>
                  <wp:cNvGraphicFramePr/>
                  <a:graphic xmlns:a="http://schemas.openxmlformats.org/drawingml/2006/main">
                    <a:graphicData uri="http://schemas.openxmlformats.org/drawingml/2006/picture">
                      <pic:pic xmlns:pic="http://schemas.openxmlformats.org/drawingml/2006/picture">
                        <pic:nvPicPr>
                          <pic:cNvPr id="61" name="AutoShape_1_SpCnt_4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5347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73" name="AutoShape_2_SpCnt_47"/>
                  <wp:cNvGraphicFramePr/>
                  <a:graphic xmlns:a="http://schemas.openxmlformats.org/drawingml/2006/main">
                    <a:graphicData uri="http://schemas.openxmlformats.org/drawingml/2006/picture">
                      <pic:pic xmlns:pic="http://schemas.openxmlformats.org/drawingml/2006/picture">
                        <pic:nvPicPr>
                          <pic:cNvPr id="73" name="AutoShape_2_SpCnt_4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5449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62" name="AutoShape_1_SpCnt_45"/>
                  <wp:cNvGraphicFramePr/>
                  <a:graphic xmlns:a="http://schemas.openxmlformats.org/drawingml/2006/main">
                    <a:graphicData uri="http://schemas.openxmlformats.org/drawingml/2006/picture">
                      <pic:pic xmlns:pic="http://schemas.openxmlformats.org/drawingml/2006/picture">
                        <pic:nvPicPr>
                          <pic:cNvPr id="62" name="AutoShape_1_SpCnt_4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5552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63" name="AutoShape_2_SpCnt_48"/>
                  <wp:cNvGraphicFramePr/>
                  <a:graphic xmlns:a="http://schemas.openxmlformats.org/drawingml/2006/main">
                    <a:graphicData uri="http://schemas.openxmlformats.org/drawingml/2006/picture">
                      <pic:pic xmlns:pic="http://schemas.openxmlformats.org/drawingml/2006/picture">
                        <pic:nvPicPr>
                          <pic:cNvPr id="63" name="AutoShape_2_SpCnt_4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5654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69" name="AutoShape_1_SpCnt_46"/>
                  <wp:cNvGraphicFramePr/>
                  <a:graphic xmlns:a="http://schemas.openxmlformats.org/drawingml/2006/main">
                    <a:graphicData uri="http://schemas.openxmlformats.org/drawingml/2006/picture">
                      <pic:pic xmlns:pic="http://schemas.openxmlformats.org/drawingml/2006/picture">
                        <pic:nvPicPr>
                          <pic:cNvPr id="69" name="AutoShape_1_SpCnt_4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5756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64" name="AutoShape_2_SpCnt_49"/>
                  <wp:cNvGraphicFramePr/>
                  <a:graphic xmlns:a="http://schemas.openxmlformats.org/drawingml/2006/main">
                    <a:graphicData uri="http://schemas.openxmlformats.org/drawingml/2006/picture">
                      <pic:pic xmlns:pic="http://schemas.openxmlformats.org/drawingml/2006/picture">
                        <pic:nvPicPr>
                          <pic:cNvPr id="64" name="AutoShape_2_SpCnt_4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5859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70" name="AutoShape_1_SpCnt_47"/>
                  <wp:cNvGraphicFramePr/>
                  <a:graphic xmlns:a="http://schemas.openxmlformats.org/drawingml/2006/main">
                    <a:graphicData uri="http://schemas.openxmlformats.org/drawingml/2006/picture">
                      <pic:pic xmlns:pic="http://schemas.openxmlformats.org/drawingml/2006/picture">
                        <pic:nvPicPr>
                          <pic:cNvPr id="70" name="AutoShape_1_SpCnt_4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5961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40" name="AutoShape_2_SpCnt_50"/>
                  <wp:cNvGraphicFramePr/>
                  <a:graphic xmlns:a="http://schemas.openxmlformats.org/drawingml/2006/main">
                    <a:graphicData uri="http://schemas.openxmlformats.org/drawingml/2006/picture">
                      <pic:pic xmlns:pic="http://schemas.openxmlformats.org/drawingml/2006/picture">
                        <pic:nvPicPr>
                          <pic:cNvPr id="40" name="AutoShape_2_SpCnt_5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6064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56" name="AutoShape_1_SpCnt_48"/>
                  <wp:cNvGraphicFramePr/>
                  <a:graphic xmlns:a="http://schemas.openxmlformats.org/drawingml/2006/main">
                    <a:graphicData uri="http://schemas.openxmlformats.org/drawingml/2006/picture">
                      <pic:pic xmlns:pic="http://schemas.openxmlformats.org/drawingml/2006/picture">
                        <pic:nvPicPr>
                          <pic:cNvPr id="56" name="AutoShape_1_SpCnt_4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6166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51" name="AutoShape_2_SpCnt_51"/>
                  <wp:cNvGraphicFramePr/>
                  <a:graphic xmlns:a="http://schemas.openxmlformats.org/drawingml/2006/main">
                    <a:graphicData uri="http://schemas.openxmlformats.org/drawingml/2006/picture">
                      <pic:pic xmlns:pic="http://schemas.openxmlformats.org/drawingml/2006/picture">
                        <pic:nvPicPr>
                          <pic:cNvPr id="51" name="AutoShape_2_SpCnt_5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6268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57" name="AutoShape_1_SpCnt_49"/>
                  <wp:cNvGraphicFramePr/>
                  <a:graphic xmlns:a="http://schemas.openxmlformats.org/drawingml/2006/main">
                    <a:graphicData uri="http://schemas.openxmlformats.org/drawingml/2006/picture">
                      <pic:pic xmlns:pic="http://schemas.openxmlformats.org/drawingml/2006/picture">
                        <pic:nvPicPr>
                          <pic:cNvPr id="57" name="AutoShape_1_SpCnt_4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6371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55" name="AutoShape_2_SpCnt_52"/>
                  <wp:cNvGraphicFramePr/>
                  <a:graphic xmlns:a="http://schemas.openxmlformats.org/drawingml/2006/main">
                    <a:graphicData uri="http://schemas.openxmlformats.org/drawingml/2006/picture">
                      <pic:pic xmlns:pic="http://schemas.openxmlformats.org/drawingml/2006/picture">
                        <pic:nvPicPr>
                          <pic:cNvPr id="55" name="AutoShape_2_SpCnt_5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6473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42" name="AutoShape_1_SpCnt_50"/>
                  <wp:cNvGraphicFramePr/>
                  <a:graphic xmlns:a="http://schemas.openxmlformats.org/drawingml/2006/main">
                    <a:graphicData uri="http://schemas.openxmlformats.org/drawingml/2006/picture">
                      <pic:pic xmlns:pic="http://schemas.openxmlformats.org/drawingml/2006/picture">
                        <pic:nvPicPr>
                          <pic:cNvPr id="42" name="AutoShape_1_SpCnt_5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6576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49" name="AutoShape_2_SpCnt_53"/>
                  <wp:cNvGraphicFramePr/>
                  <a:graphic xmlns:a="http://schemas.openxmlformats.org/drawingml/2006/main">
                    <a:graphicData uri="http://schemas.openxmlformats.org/drawingml/2006/picture">
                      <pic:pic xmlns:pic="http://schemas.openxmlformats.org/drawingml/2006/picture">
                        <pic:nvPicPr>
                          <pic:cNvPr id="49" name="AutoShape_2_SpCnt_5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6678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41" name="AutoShape_1_SpCnt_51"/>
                  <wp:cNvGraphicFramePr/>
                  <a:graphic xmlns:a="http://schemas.openxmlformats.org/drawingml/2006/main">
                    <a:graphicData uri="http://schemas.openxmlformats.org/drawingml/2006/picture">
                      <pic:pic xmlns:pic="http://schemas.openxmlformats.org/drawingml/2006/picture">
                        <pic:nvPicPr>
                          <pic:cNvPr id="41" name="AutoShape_1_SpCnt_5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6780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53" name="AutoShape_2_SpCnt_54"/>
                  <wp:cNvGraphicFramePr/>
                  <a:graphic xmlns:a="http://schemas.openxmlformats.org/drawingml/2006/main">
                    <a:graphicData uri="http://schemas.openxmlformats.org/drawingml/2006/picture">
                      <pic:pic xmlns:pic="http://schemas.openxmlformats.org/drawingml/2006/picture">
                        <pic:nvPicPr>
                          <pic:cNvPr id="53" name="AutoShape_2_SpCnt_5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6883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48" name="AutoShape_1_SpCnt_52"/>
                  <wp:cNvGraphicFramePr/>
                  <a:graphic xmlns:a="http://schemas.openxmlformats.org/drawingml/2006/main">
                    <a:graphicData uri="http://schemas.openxmlformats.org/drawingml/2006/picture">
                      <pic:pic xmlns:pic="http://schemas.openxmlformats.org/drawingml/2006/picture">
                        <pic:nvPicPr>
                          <pic:cNvPr id="48" name="AutoShape_1_SpCnt_5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6985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43" name="AutoShape_2_SpCnt_55"/>
                  <wp:cNvGraphicFramePr/>
                  <a:graphic xmlns:a="http://schemas.openxmlformats.org/drawingml/2006/main">
                    <a:graphicData uri="http://schemas.openxmlformats.org/drawingml/2006/picture">
                      <pic:pic xmlns:pic="http://schemas.openxmlformats.org/drawingml/2006/picture">
                        <pic:nvPicPr>
                          <pic:cNvPr id="43" name="AutoShape_2_SpCnt_5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7088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52" name="AutoShape_1_SpCnt_53"/>
                  <wp:cNvGraphicFramePr/>
                  <a:graphic xmlns:a="http://schemas.openxmlformats.org/drawingml/2006/main">
                    <a:graphicData uri="http://schemas.openxmlformats.org/drawingml/2006/picture">
                      <pic:pic xmlns:pic="http://schemas.openxmlformats.org/drawingml/2006/picture">
                        <pic:nvPicPr>
                          <pic:cNvPr id="52" name="AutoShape_1_SpCnt_5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7190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9" name="AutoShape_2_SpCnt_56"/>
                  <wp:cNvGraphicFramePr/>
                  <a:graphic xmlns:a="http://schemas.openxmlformats.org/drawingml/2006/main">
                    <a:graphicData uri="http://schemas.openxmlformats.org/drawingml/2006/picture">
                      <pic:pic xmlns:pic="http://schemas.openxmlformats.org/drawingml/2006/picture">
                        <pic:nvPicPr>
                          <pic:cNvPr id="29" name="AutoShape_2_SpCnt_5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7292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45" name="AutoShape_1_SpCnt_54"/>
                  <wp:cNvGraphicFramePr/>
                  <a:graphic xmlns:a="http://schemas.openxmlformats.org/drawingml/2006/main">
                    <a:graphicData uri="http://schemas.openxmlformats.org/drawingml/2006/picture">
                      <pic:pic xmlns:pic="http://schemas.openxmlformats.org/drawingml/2006/picture">
                        <pic:nvPicPr>
                          <pic:cNvPr id="45" name="AutoShape_1_SpCnt_5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7395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50" name="AutoShape_2_SpCnt_57"/>
                  <wp:cNvGraphicFramePr/>
                  <a:graphic xmlns:a="http://schemas.openxmlformats.org/drawingml/2006/main">
                    <a:graphicData uri="http://schemas.openxmlformats.org/drawingml/2006/picture">
                      <pic:pic xmlns:pic="http://schemas.openxmlformats.org/drawingml/2006/picture">
                        <pic:nvPicPr>
                          <pic:cNvPr id="50" name="AutoShape_2_SpCnt_5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7497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54" name="AutoShape_1_SpCnt_55"/>
                  <wp:cNvGraphicFramePr/>
                  <a:graphic xmlns:a="http://schemas.openxmlformats.org/drawingml/2006/main">
                    <a:graphicData uri="http://schemas.openxmlformats.org/drawingml/2006/picture">
                      <pic:pic xmlns:pic="http://schemas.openxmlformats.org/drawingml/2006/picture">
                        <pic:nvPicPr>
                          <pic:cNvPr id="54" name="AutoShape_1_SpCnt_5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7600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35" name="AutoShape_1_SpCnt_56"/>
                  <wp:cNvGraphicFramePr/>
                  <a:graphic xmlns:a="http://schemas.openxmlformats.org/drawingml/2006/main">
                    <a:graphicData uri="http://schemas.openxmlformats.org/drawingml/2006/picture">
                      <pic:pic xmlns:pic="http://schemas.openxmlformats.org/drawingml/2006/picture">
                        <pic:nvPicPr>
                          <pic:cNvPr id="35" name="AutoShape_1_SpCnt_5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7702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8" name="AutoShape_2_SpCnt_58"/>
                  <wp:cNvGraphicFramePr/>
                  <a:graphic xmlns:a="http://schemas.openxmlformats.org/drawingml/2006/main">
                    <a:graphicData uri="http://schemas.openxmlformats.org/drawingml/2006/picture">
                      <pic:pic xmlns:pic="http://schemas.openxmlformats.org/drawingml/2006/picture">
                        <pic:nvPicPr>
                          <pic:cNvPr id="28" name="AutoShape_2_SpCnt_5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7804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44" name="AutoShape_1_SpCnt_57"/>
                  <wp:cNvGraphicFramePr/>
                  <a:graphic xmlns:a="http://schemas.openxmlformats.org/drawingml/2006/main">
                    <a:graphicData uri="http://schemas.openxmlformats.org/drawingml/2006/picture">
                      <pic:pic xmlns:pic="http://schemas.openxmlformats.org/drawingml/2006/picture">
                        <pic:nvPicPr>
                          <pic:cNvPr id="44" name="AutoShape_1_SpCnt_5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7907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46" name="AutoShape_2_SpCnt_59"/>
                  <wp:cNvGraphicFramePr/>
                  <a:graphic xmlns:a="http://schemas.openxmlformats.org/drawingml/2006/main">
                    <a:graphicData uri="http://schemas.openxmlformats.org/drawingml/2006/picture">
                      <pic:pic xmlns:pic="http://schemas.openxmlformats.org/drawingml/2006/picture">
                        <pic:nvPicPr>
                          <pic:cNvPr id="46" name="AutoShape_2_SpCnt_5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8009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36" name="AutoShape_1_SpCnt_58"/>
                  <wp:cNvGraphicFramePr/>
                  <a:graphic xmlns:a="http://schemas.openxmlformats.org/drawingml/2006/main">
                    <a:graphicData uri="http://schemas.openxmlformats.org/drawingml/2006/picture">
                      <pic:pic xmlns:pic="http://schemas.openxmlformats.org/drawingml/2006/picture">
                        <pic:nvPicPr>
                          <pic:cNvPr id="36" name="AutoShape_1_SpCnt_5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8112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6" name="AutoShape_2_SpCnt_60"/>
                  <wp:cNvGraphicFramePr/>
                  <a:graphic xmlns:a="http://schemas.openxmlformats.org/drawingml/2006/main">
                    <a:graphicData uri="http://schemas.openxmlformats.org/drawingml/2006/picture">
                      <pic:pic xmlns:pic="http://schemas.openxmlformats.org/drawingml/2006/picture">
                        <pic:nvPicPr>
                          <pic:cNvPr id="26" name="AutoShape_2_SpCnt_6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8214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7" name="AutoShape_1_SpCnt_59"/>
                  <wp:cNvGraphicFramePr/>
                  <a:graphic xmlns:a="http://schemas.openxmlformats.org/drawingml/2006/main">
                    <a:graphicData uri="http://schemas.openxmlformats.org/drawingml/2006/picture">
                      <pic:pic xmlns:pic="http://schemas.openxmlformats.org/drawingml/2006/picture">
                        <pic:nvPicPr>
                          <pic:cNvPr id="27" name="AutoShape_1_SpCnt_5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8316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30" name="AutoShape_2_SpCnt_61"/>
                  <wp:cNvGraphicFramePr/>
                  <a:graphic xmlns:a="http://schemas.openxmlformats.org/drawingml/2006/main">
                    <a:graphicData uri="http://schemas.openxmlformats.org/drawingml/2006/picture">
                      <pic:pic xmlns:pic="http://schemas.openxmlformats.org/drawingml/2006/picture">
                        <pic:nvPicPr>
                          <pic:cNvPr id="30" name="AutoShape_2_SpCnt_6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8419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34" name="AutoShape_1_SpCnt_60"/>
                  <wp:cNvGraphicFramePr/>
                  <a:graphic xmlns:a="http://schemas.openxmlformats.org/drawingml/2006/main">
                    <a:graphicData uri="http://schemas.openxmlformats.org/drawingml/2006/picture">
                      <pic:pic xmlns:pic="http://schemas.openxmlformats.org/drawingml/2006/picture">
                        <pic:nvPicPr>
                          <pic:cNvPr id="34" name="AutoShape_1_SpCnt_6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8521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47" name="AutoShape_2_SpCnt_62"/>
                  <wp:cNvGraphicFramePr/>
                  <a:graphic xmlns:a="http://schemas.openxmlformats.org/drawingml/2006/main">
                    <a:graphicData uri="http://schemas.openxmlformats.org/drawingml/2006/picture">
                      <pic:pic xmlns:pic="http://schemas.openxmlformats.org/drawingml/2006/picture">
                        <pic:nvPicPr>
                          <pic:cNvPr id="47" name="AutoShape_2_SpCnt_6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8624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31" name="AutoShape_1_SpCnt_61"/>
                  <wp:cNvGraphicFramePr/>
                  <a:graphic xmlns:a="http://schemas.openxmlformats.org/drawingml/2006/main">
                    <a:graphicData uri="http://schemas.openxmlformats.org/drawingml/2006/picture">
                      <pic:pic xmlns:pic="http://schemas.openxmlformats.org/drawingml/2006/picture">
                        <pic:nvPicPr>
                          <pic:cNvPr id="31" name="AutoShape_1_SpCnt_6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8726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38" name="AutoShape_1_SpCnt_62"/>
                  <wp:cNvGraphicFramePr/>
                  <a:graphic xmlns:a="http://schemas.openxmlformats.org/drawingml/2006/main">
                    <a:graphicData uri="http://schemas.openxmlformats.org/drawingml/2006/picture">
                      <pic:pic xmlns:pic="http://schemas.openxmlformats.org/drawingml/2006/picture">
                        <pic:nvPicPr>
                          <pic:cNvPr id="38" name="AutoShape_1_SpCnt_6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8828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32" name="AutoShape_2_SpCnt_63"/>
                  <wp:cNvGraphicFramePr/>
                  <a:graphic xmlns:a="http://schemas.openxmlformats.org/drawingml/2006/main">
                    <a:graphicData uri="http://schemas.openxmlformats.org/drawingml/2006/picture">
                      <pic:pic xmlns:pic="http://schemas.openxmlformats.org/drawingml/2006/picture">
                        <pic:nvPicPr>
                          <pic:cNvPr id="32" name="AutoShape_2_SpCnt_6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8931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33" name="AutoShape_1_SpCnt_63"/>
                  <wp:cNvGraphicFramePr/>
                  <a:graphic xmlns:a="http://schemas.openxmlformats.org/drawingml/2006/main">
                    <a:graphicData uri="http://schemas.openxmlformats.org/drawingml/2006/picture">
                      <pic:pic xmlns:pic="http://schemas.openxmlformats.org/drawingml/2006/picture">
                        <pic:nvPicPr>
                          <pic:cNvPr id="33" name="AutoShape_1_SpCnt_6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9033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37" name="AutoShape_2_SpCnt_64"/>
                  <wp:cNvGraphicFramePr/>
                  <a:graphic xmlns:a="http://schemas.openxmlformats.org/drawingml/2006/main">
                    <a:graphicData uri="http://schemas.openxmlformats.org/drawingml/2006/picture">
                      <pic:pic xmlns:pic="http://schemas.openxmlformats.org/drawingml/2006/picture">
                        <pic:nvPicPr>
                          <pic:cNvPr id="37" name="AutoShape_2_SpCnt_6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9136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39" name="AutoShape_1_SpCnt_64"/>
                  <wp:cNvGraphicFramePr/>
                  <a:graphic xmlns:a="http://schemas.openxmlformats.org/drawingml/2006/main">
                    <a:graphicData uri="http://schemas.openxmlformats.org/drawingml/2006/picture">
                      <pic:pic xmlns:pic="http://schemas.openxmlformats.org/drawingml/2006/picture">
                        <pic:nvPicPr>
                          <pic:cNvPr id="39" name="AutoShape_1_SpCnt_6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9238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0" name="AutoShape_2_SpCnt_65"/>
                  <wp:cNvGraphicFramePr/>
                  <a:graphic xmlns:a="http://schemas.openxmlformats.org/drawingml/2006/main">
                    <a:graphicData uri="http://schemas.openxmlformats.org/drawingml/2006/picture">
                      <pic:pic xmlns:pic="http://schemas.openxmlformats.org/drawingml/2006/picture">
                        <pic:nvPicPr>
                          <pic:cNvPr id="10" name="AutoShape_2_SpCnt_6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9340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8" name="AutoShape_1_SpCnt_65"/>
                  <wp:cNvGraphicFramePr/>
                  <a:graphic xmlns:a="http://schemas.openxmlformats.org/drawingml/2006/main">
                    <a:graphicData uri="http://schemas.openxmlformats.org/drawingml/2006/picture">
                      <pic:pic xmlns:pic="http://schemas.openxmlformats.org/drawingml/2006/picture">
                        <pic:nvPicPr>
                          <pic:cNvPr id="18" name="AutoShape_1_SpCnt_6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9443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3" name="AutoShape_2_SpCnt_66"/>
                  <wp:cNvGraphicFramePr/>
                  <a:graphic xmlns:a="http://schemas.openxmlformats.org/drawingml/2006/main">
                    <a:graphicData uri="http://schemas.openxmlformats.org/drawingml/2006/picture">
                      <pic:pic xmlns:pic="http://schemas.openxmlformats.org/drawingml/2006/picture">
                        <pic:nvPicPr>
                          <pic:cNvPr id="13" name="AutoShape_2_SpCnt_6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9545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7" name="AutoShape_1_SpCnt_66"/>
                  <wp:cNvGraphicFramePr/>
                  <a:graphic xmlns:a="http://schemas.openxmlformats.org/drawingml/2006/main">
                    <a:graphicData uri="http://schemas.openxmlformats.org/drawingml/2006/picture">
                      <pic:pic xmlns:pic="http://schemas.openxmlformats.org/drawingml/2006/picture">
                        <pic:nvPicPr>
                          <pic:cNvPr id="17" name="AutoShape_1_SpCnt_6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9648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2" name="AutoShape_2_SpCnt_67"/>
                  <wp:cNvGraphicFramePr/>
                  <a:graphic xmlns:a="http://schemas.openxmlformats.org/drawingml/2006/main">
                    <a:graphicData uri="http://schemas.openxmlformats.org/drawingml/2006/picture">
                      <pic:pic xmlns:pic="http://schemas.openxmlformats.org/drawingml/2006/picture">
                        <pic:nvPicPr>
                          <pic:cNvPr id="22" name="AutoShape_2_SpCnt_6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9750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9" name="AutoShape_1_SpCnt_67"/>
                  <wp:cNvGraphicFramePr/>
                  <a:graphic xmlns:a="http://schemas.openxmlformats.org/drawingml/2006/main">
                    <a:graphicData uri="http://schemas.openxmlformats.org/drawingml/2006/picture">
                      <pic:pic xmlns:pic="http://schemas.openxmlformats.org/drawingml/2006/picture">
                        <pic:nvPicPr>
                          <pic:cNvPr id="19" name="AutoShape_1_SpCnt_6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9852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3" name="AutoShape_2_SpCnt_68"/>
                  <wp:cNvGraphicFramePr/>
                  <a:graphic xmlns:a="http://schemas.openxmlformats.org/drawingml/2006/main">
                    <a:graphicData uri="http://schemas.openxmlformats.org/drawingml/2006/picture">
                      <pic:pic xmlns:pic="http://schemas.openxmlformats.org/drawingml/2006/picture">
                        <pic:nvPicPr>
                          <pic:cNvPr id="23" name="AutoShape_2_SpCnt_6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79955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6" name="AutoShape_1_SpCnt_68"/>
                  <wp:cNvGraphicFramePr/>
                  <a:graphic xmlns:a="http://schemas.openxmlformats.org/drawingml/2006/main">
                    <a:graphicData uri="http://schemas.openxmlformats.org/drawingml/2006/picture">
                      <pic:pic xmlns:pic="http://schemas.openxmlformats.org/drawingml/2006/picture">
                        <pic:nvPicPr>
                          <pic:cNvPr id="16" name="AutoShape_1_SpCnt_6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0057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1" name="AutoShape_2_SpCnt_69"/>
                  <wp:cNvGraphicFramePr/>
                  <a:graphic xmlns:a="http://schemas.openxmlformats.org/drawingml/2006/main">
                    <a:graphicData uri="http://schemas.openxmlformats.org/drawingml/2006/picture">
                      <pic:pic xmlns:pic="http://schemas.openxmlformats.org/drawingml/2006/picture">
                        <pic:nvPicPr>
                          <pic:cNvPr id="21" name="AutoShape_2_SpCnt_6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0160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4" name="AutoShape_1_SpCnt_69"/>
                  <wp:cNvGraphicFramePr/>
                  <a:graphic xmlns:a="http://schemas.openxmlformats.org/drawingml/2006/main">
                    <a:graphicData uri="http://schemas.openxmlformats.org/drawingml/2006/picture">
                      <pic:pic xmlns:pic="http://schemas.openxmlformats.org/drawingml/2006/picture">
                        <pic:nvPicPr>
                          <pic:cNvPr id="24" name="AutoShape_1_SpCnt_6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0262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0" name="AutoShape_2_SpCnt_70"/>
                  <wp:cNvGraphicFramePr/>
                  <a:graphic xmlns:a="http://schemas.openxmlformats.org/drawingml/2006/main">
                    <a:graphicData uri="http://schemas.openxmlformats.org/drawingml/2006/picture">
                      <pic:pic xmlns:pic="http://schemas.openxmlformats.org/drawingml/2006/picture">
                        <pic:nvPicPr>
                          <pic:cNvPr id="20" name="AutoShape_2_SpCnt_7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0364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5" name="AutoShape_1_SpCnt_70"/>
                  <wp:cNvGraphicFramePr/>
                  <a:graphic xmlns:a="http://schemas.openxmlformats.org/drawingml/2006/main">
                    <a:graphicData uri="http://schemas.openxmlformats.org/drawingml/2006/picture">
                      <pic:pic xmlns:pic="http://schemas.openxmlformats.org/drawingml/2006/picture">
                        <pic:nvPicPr>
                          <pic:cNvPr id="25" name="AutoShape_1_SpCnt_7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0467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9" name="AutoShape_2_SpCnt_71"/>
                  <wp:cNvGraphicFramePr/>
                  <a:graphic xmlns:a="http://schemas.openxmlformats.org/drawingml/2006/main">
                    <a:graphicData uri="http://schemas.openxmlformats.org/drawingml/2006/picture">
                      <pic:pic xmlns:pic="http://schemas.openxmlformats.org/drawingml/2006/picture">
                        <pic:nvPicPr>
                          <pic:cNvPr id="9" name="AutoShape_2_SpCnt_7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0569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1" name="AutoShape_1_SpCnt_71"/>
                  <wp:cNvGraphicFramePr/>
                  <a:graphic xmlns:a="http://schemas.openxmlformats.org/drawingml/2006/main">
                    <a:graphicData uri="http://schemas.openxmlformats.org/drawingml/2006/picture">
                      <pic:pic xmlns:pic="http://schemas.openxmlformats.org/drawingml/2006/picture">
                        <pic:nvPicPr>
                          <pic:cNvPr id="11" name="AutoShape_1_SpCnt_7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0672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2" name="AutoShape_2_SpCnt_72"/>
                  <wp:cNvGraphicFramePr/>
                  <a:graphic xmlns:a="http://schemas.openxmlformats.org/drawingml/2006/main">
                    <a:graphicData uri="http://schemas.openxmlformats.org/drawingml/2006/picture">
                      <pic:pic xmlns:pic="http://schemas.openxmlformats.org/drawingml/2006/picture">
                        <pic:nvPicPr>
                          <pic:cNvPr id="12" name="AutoShape_2_SpCnt_7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0774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4" name="AutoShape_1_SpCnt_72"/>
                  <wp:cNvGraphicFramePr/>
                  <a:graphic xmlns:a="http://schemas.openxmlformats.org/drawingml/2006/main">
                    <a:graphicData uri="http://schemas.openxmlformats.org/drawingml/2006/picture">
                      <pic:pic xmlns:pic="http://schemas.openxmlformats.org/drawingml/2006/picture">
                        <pic:nvPicPr>
                          <pic:cNvPr id="14" name="AutoShape_1_SpCnt_7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0876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5" name="AutoShape_2_SpCnt_73"/>
                  <wp:cNvGraphicFramePr/>
                  <a:graphic xmlns:a="http://schemas.openxmlformats.org/drawingml/2006/main">
                    <a:graphicData uri="http://schemas.openxmlformats.org/drawingml/2006/picture">
                      <pic:pic xmlns:pic="http://schemas.openxmlformats.org/drawingml/2006/picture">
                        <pic:nvPicPr>
                          <pic:cNvPr id="15" name="AutoShape_2_SpCnt_7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0979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 name="AutoShape_1_SpCnt_73"/>
                  <wp:cNvGraphicFramePr/>
                  <a:graphic xmlns:a="http://schemas.openxmlformats.org/drawingml/2006/main">
                    <a:graphicData uri="http://schemas.openxmlformats.org/drawingml/2006/picture">
                      <pic:pic xmlns:pic="http://schemas.openxmlformats.org/drawingml/2006/picture">
                        <pic:nvPicPr>
                          <pic:cNvPr id="2" name="AutoShape_1_SpCnt_7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1081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4" name="AutoShape_2_SpCnt_74"/>
                  <wp:cNvGraphicFramePr/>
                  <a:graphic xmlns:a="http://schemas.openxmlformats.org/drawingml/2006/main">
                    <a:graphicData uri="http://schemas.openxmlformats.org/drawingml/2006/picture">
                      <pic:pic xmlns:pic="http://schemas.openxmlformats.org/drawingml/2006/picture">
                        <pic:nvPicPr>
                          <pic:cNvPr id="4" name="AutoShape_2_SpCnt_7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1184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8" name="AutoShape_1_SpCnt_74"/>
                  <wp:cNvGraphicFramePr/>
                  <a:graphic xmlns:a="http://schemas.openxmlformats.org/drawingml/2006/main">
                    <a:graphicData uri="http://schemas.openxmlformats.org/drawingml/2006/picture">
                      <pic:pic xmlns:pic="http://schemas.openxmlformats.org/drawingml/2006/picture">
                        <pic:nvPicPr>
                          <pic:cNvPr id="8" name="AutoShape_1_SpCnt_7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1286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5" name="AutoShape_2_SpCnt_75"/>
                  <wp:cNvGraphicFramePr/>
                  <a:graphic xmlns:a="http://schemas.openxmlformats.org/drawingml/2006/main">
                    <a:graphicData uri="http://schemas.openxmlformats.org/drawingml/2006/picture">
                      <pic:pic xmlns:pic="http://schemas.openxmlformats.org/drawingml/2006/picture">
                        <pic:nvPicPr>
                          <pic:cNvPr id="5" name="AutoShape_2_SpCnt_7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1388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6" name="AutoShape_1_SpCnt_75"/>
                  <wp:cNvGraphicFramePr/>
                  <a:graphic xmlns:a="http://schemas.openxmlformats.org/drawingml/2006/main">
                    <a:graphicData uri="http://schemas.openxmlformats.org/drawingml/2006/picture">
                      <pic:pic xmlns:pic="http://schemas.openxmlformats.org/drawingml/2006/picture">
                        <pic:nvPicPr>
                          <pic:cNvPr id="6" name="AutoShape_1_SpCnt_7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1491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7" name="AutoShape_1_SpCnt_76"/>
                  <wp:cNvGraphicFramePr/>
                  <a:graphic xmlns:a="http://schemas.openxmlformats.org/drawingml/2006/main">
                    <a:graphicData uri="http://schemas.openxmlformats.org/drawingml/2006/picture">
                      <pic:pic xmlns:pic="http://schemas.openxmlformats.org/drawingml/2006/picture">
                        <pic:nvPicPr>
                          <pic:cNvPr id="7" name="AutoShape_1_SpCnt_7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1593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56" name="AutoShape_2_SpCnt_76"/>
                  <wp:cNvGraphicFramePr/>
                  <a:graphic xmlns:a="http://schemas.openxmlformats.org/drawingml/2006/main">
                    <a:graphicData uri="http://schemas.openxmlformats.org/drawingml/2006/picture">
                      <pic:pic xmlns:pic="http://schemas.openxmlformats.org/drawingml/2006/picture">
                        <pic:nvPicPr>
                          <pic:cNvPr id="156" name="AutoShape_2_SpCnt_7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1696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57" name="AutoShape_1_SpCnt_77"/>
                  <wp:cNvGraphicFramePr/>
                  <a:graphic xmlns:a="http://schemas.openxmlformats.org/drawingml/2006/main">
                    <a:graphicData uri="http://schemas.openxmlformats.org/drawingml/2006/picture">
                      <pic:pic xmlns:pic="http://schemas.openxmlformats.org/drawingml/2006/picture">
                        <pic:nvPicPr>
                          <pic:cNvPr id="157" name="AutoShape_1_SpCnt_7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1798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03" name="AutoShape_2_SpCnt_77"/>
                  <wp:cNvGraphicFramePr/>
                  <a:graphic xmlns:a="http://schemas.openxmlformats.org/drawingml/2006/main">
                    <a:graphicData uri="http://schemas.openxmlformats.org/drawingml/2006/picture">
                      <pic:pic xmlns:pic="http://schemas.openxmlformats.org/drawingml/2006/picture">
                        <pic:nvPicPr>
                          <pic:cNvPr id="203" name="AutoShape_2_SpCnt_7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1900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96" name="AutoShape_1_SpCnt_78"/>
                  <wp:cNvGraphicFramePr/>
                  <a:graphic xmlns:a="http://schemas.openxmlformats.org/drawingml/2006/main">
                    <a:graphicData uri="http://schemas.openxmlformats.org/drawingml/2006/picture">
                      <pic:pic xmlns:pic="http://schemas.openxmlformats.org/drawingml/2006/picture">
                        <pic:nvPicPr>
                          <pic:cNvPr id="196" name="AutoShape_1_SpCnt_7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2003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95" name="AutoShape_1_SpCnt_79"/>
                  <wp:cNvGraphicFramePr/>
                  <a:graphic xmlns:a="http://schemas.openxmlformats.org/drawingml/2006/main">
                    <a:graphicData uri="http://schemas.openxmlformats.org/drawingml/2006/picture">
                      <pic:pic xmlns:pic="http://schemas.openxmlformats.org/drawingml/2006/picture">
                        <pic:nvPicPr>
                          <pic:cNvPr id="195" name="AutoShape_1_SpCnt_7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2105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79" name="AutoShape_2_SpCnt_78"/>
                  <wp:cNvGraphicFramePr/>
                  <a:graphic xmlns:a="http://schemas.openxmlformats.org/drawingml/2006/main">
                    <a:graphicData uri="http://schemas.openxmlformats.org/drawingml/2006/picture">
                      <pic:pic xmlns:pic="http://schemas.openxmlformats.org/drawingml/2006/picture">
                        <pic:nvPicPr>
                          <pic:cNvPr id="179" name="AutoShape_2_SpCnt_7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2208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80" name="AutoShape_1_SpCnt_80"/>
                  <wp:cNvGraphicFramePr/>
                  <a:graphic xmlns:a="http://schemas.openxmlformats.org/drawingml/2006/main">
                    <a:graphicData uri="http://schemas.openxmlformats.org/drawingml/2006/picture">
                      <pic:pic xmlns:pic="http://schemas.openxmlformats.org/drawingml/2006/picture">
                        <pic:nvPicPr>
                          <pic:cNvPr id="180" name="AutoShape_1_SpCnt_8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2310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97" name="AutoShape_2_SpCnt_79"/>
                  <wp:cNvGraphicFramePr/>
                  <a:graphic xmlns:a="http://schemas.openxmlformats.org/drawingml/2006/main">
                    <a:graphicData uri="http://schemas.openxmlformats.org/drawingml/2006/picture">
                      <pic:pic xmlns:pic="http://schemas.openxmlformats.org/drawingml/2006/picture">
                        <pic:nvPicPr>
                          <pic:cNvPr id="197" name="AutoShape_2_SpCnt_7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2412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92" name="AutoShape_1_SpCnt_81"/>
                  <wp:cNvGraphicFramePr/>
                  <a:graphic xmlns:a="http://schemas.openxmlformats.org/drawingml/2006/main">
                    <a:graphicData uri="http://schemas.openxmlformats.org/drawingml/2006/picture">
                      <pic:pic xmlns:pic="http://schemas.openxmlformats.org/drawingml/2006/picture">
                        <pic:nvPicPr>
                          <pic:cNvPr id="192" name="AutoShape_1_SpCnt_8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2515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98" name="AutoShape_2_SpCnt_80"/>
                  <wp:cNvGraphicFramePr/>
                  <a:graphic xmlns:a="http://schemas.openxmlformats.org/drawingml/2006/main">
                    <a:graphicData uri="http://schemas.openxmlformats.org/drawingml/2006/picture">
                      <pic:pic xmlns:pic="http://schemas.openxmlformats.org/drawingml/2006/picture">
                        <pic:nvPicPr>
                          <pic:cNvPr id="198" name="AutoShape_2_SpCnt_8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2617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83" name="AutoShape_1_SpCnt_82"/>
                  <wp:cNvGraphicFramePr/>
                  <a:graphic xmlns:a="http://schemas.openxmlformats.org/drawingml/2006/main">
                    <a:graphicData uri="http://schemas.openxmlformats.org/drawingml/2006/picture">
                      <pic:pic xmlns:pic="http://schemas.openxmlformats.org/drawingml/2006/picture">
                        <pic:nvPicPr>
                          <pic:cNvPr id="183" name="AutoShape_1_SpCnt_8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2720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81" name="AutoShape_2_SpCnt_81"/>
                  <wp:cNvGraphicFramePr/>
                  <a:graphic xmlns:a="http://schemas.openxmlformats.org/drawingml/2006/main">
                    <a:graphicData uri="http://schemas.openxmlformats.org/drawingml/2006/picture">
                      <pic:pic xmlns:pic="http://schemas.openxmlformats.org/drawingml/2006/picture">
                        <pic:nvPicPr>
                          <pic:cNvPr id="181" name="AutoShape_2_SpCnt_8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2822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74" name="AutoShape_1_SpCnt_83"/>
                  <wp:cNvGraphicFramePr/>
                  <a:graphic xmlns:a="http://schemas.openxmlformats.org/drawingml/2006/main">
                    <a:graphicData uri="http://schemas.openxmlformats.org/drawingml/2006/picture">
                      <pic:pic xmlns:pic="http://schemas.openxmlformats.org/drawingml/2006/picture">
                        <pic:nvPicPr>
                          <pic:cNvPr id="174" name="AutoShape_1_SpCnt_8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2924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82" name="AutoShape_2_SpCnt_82"/>
                  <wp:cNvGraphicFramePr/>
                  <a:graphic xmlns:a="http://schemas.openxmlformats.org/drawingml/2006/main">
                    <a:graphicData uri="http://schemas.openxmlformats.org/drawingml/2006/picture">
                      <pic:pic xmlns:pic="http://schemas.openxmlformats.org/drawingml/2006/picture">
                        <pic:nvPicPr>
                          <pic:cNvPr id="182" name="AutoShape_2_SpCnt_8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3027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99" name="AutoShape_1_SpCnt_84"/>
                  <wp:cNvGraphicFramePr/>
                  <a:graphic xmlns:a="http://schemas.openxmlformats.org/drawingml/2006/main">
                    <a:graphicData uri="http://schemas.openxmlformats.org/drawingml/2006/picture">
                      <pic:pic xmlns:pic="http://schemas.openxmlformats.org/drawingml/2006/picture">
                        <pic:nvPicPr>
                          <pic:cNvPr id="199" name="AutoShape_1_SpCnt_8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3129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77" name="AutoShape_1_SpCnt_85"/>
                  <wp:cNvGraphicFramePr/>
                  <a:graphic xmlns:a="http://schemas.openxmlformats.org/drawingml/2006/main">
                    <a:graphicData uri="http://schemas.openxmlformats.org/drawingml/2006/picture">
                      <pic:pic xmlns:pic="http://schemas.openxmlformats.org/drawingml/2006/picture">
                        <pic:nvPicPr>
                          <pic:cNvPr id="177" name="AutoShape_1_SpCnt_8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3232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84" name="AutoShape_2_SpCnt_83"/>
                  <wp:cNvGraphicFramePr/>
                  <a:graphic xmlns:a="http://schemas.openxmlformats.org/drawingml/2006/main">
                    <a:graphicData uri="http://schemas.openxmlformats.org/drawingml/2006/picture">
                      <pic:pic xmlns:pic="http://schemas.openxmlformats.org/drawingml/2006/picture">
                        <pic:nvPicPr>
                          <pic:cNvPr id="184" name="AutoShape_2_SpCnt_8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3334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85" name="AutoShape_1_SpCnt_86"/>
                  <wp:cNvGraphicFramePr/>
                  <a:graphic xmlns:a="http://schemas.openxmlformats.org/drawingml/2006/main">
                    <a:graphicData uri="http://schemas.openxmlformats.org/drawingml/2006/picture">
                      <pic:pic xmlns:pic="http://schemas.openxmlformats.org/drawingml/2006/picture">
                        <pic:nvPicPr>
                          <pic:cNvPr id="185" name="AutoShape_1_SpCnt_8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3436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04" name="AutoShape_2_SpCnt_84"/>
                  <wp:cNvGraphicFramePr/>
                  <a:graphic xmlns:a="http://schemas.openxmlformats.org/drawingml/2006/main">
                    <a:graphicData uri="http://schemas.openxmlformats.org/drawingml/2006/picture">
                      <pic:pic xmlns:pic="http://schemas.openxmlformats.org/drawingml/2006/picture">
                        <pic:nvPicPr>
                          <pic:cNvPr id="204" name="AutoShape_2_SpCnt_8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3539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00" name="AutoShape_1_SpCnt_87"/>
                  <wp:cNvGraphicFramePr/>
                  <a:graphic xmlns:a="http://schemas.openxmlformats.org/drawingml/2006/main">
                    <a:graphicData uri="http://schemas.openxmlformats.org/drawingml/2006/picture">
                      <pic:pic xmlns:pic="http://schemas.openxmlformats.org/drawingml/2006/picture">
                        <pic:nvPicPr>
                          <pic:cNvPr id="200" name="AutoShape_1_SpCnt_8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3641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86" name="AutoShape_2_SpCnt_85"/>
                  <wp:cNvGraphicFramePr/>
                  <a:graphic xmlns:a="http://schemas.openxmlformats.org/drawingml/2006/main">
                    <a:graphicData uri="http://schemas.openxmlformats.org/drawingml/2006/picture">
                      <pic:pic xmlns:pic="http://schemas.openxmlformats.org/drawingml/2006/picture">
                        <pic:nvPicPr>
                          <pic:cNvPr id="186" name="AutoShape_2_SpCnt_8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3744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76" name="AutoShape_1_SpCnt_88"/>
                  <wp:cNvGraphicFramePr/>
                  <a:graphic xmlns:a="http://schemas.openxmlformats.org/drawingml/2006/main">
                    <a:graphicData uri="http://schemas.openxmlformats.org/drawingml/2006/picture">
                      <pic:pic xmlns:pic="http://schemas.openxmlformats.org/drawingml/2006/picture">
                        <pic:nvPicPr>
                          <pic:cNvPr id="176" name="AutoShape_1_SpCnt_8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3846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01" name="AutoShape_2_SpCnt_86"/>
                  <wp:cNvGraphicFramePr/>
                  <a:graphic xmlns:a="http://schemas.openxmlformats.org/drawingml/2006/main">
                    <a:graphicData uri="http://schemas.openxmlformats.org/drawingml/2006/picture">
                      <pic:pic xmlns:pic="http://schemas.openxmlformats.org/drawingml/2006/picture">
                        <pic:nvPicPr>
                          <pic:cNvPr id="201" name="AutoShape_2_SpCnt_8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3948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89" name="AutoShape_1_SpCnt_89"/>
                  <wp:cNvGraphicFramePr/>
                  <a:graphic xmlns:a="http://schemas.openxmlformats.org/drawingml/2006/main">
                    <a:graphicData uri="http://schemas.openxmlformats.org/drawingml/2006/picture">
                      <pic:pic xmlns:pic="http://schemas.openxmlformats.org/drawingml/2006/picture">
                        <pic:nvPicPr>
                          <pic:cNvPr id="189" name="AutoShape_1_SpCnt_8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4051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93" name="AutoShape_2_SpCnt_87"/>
                  <wp:cNvGraphicFramePr/>
                  <a:graphic xmlns:a="http://schemas.openxmlformats.org/drawingml/2006/main">
                    <a:graphicData uri="http://schemas.openxmlformats.org/drawingml/2006/picture">
                      <pic:pic xmlns:pic="http://schemas.openxmlformats.org/drawingml/2006/picture">
                        <pic:nvPicPr>
                          <pic:cNvPr id="193" name="AutoShape_2_SpCnt_8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4153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02" name="AutoShape_1_SpCnt_90"/>
                  <wp:cNvGraphicFramePr/>
                  <a:graphic xmlns:a="http://schemas.openxmlformats.org/drawingml/2006/main">
                    <a:graphicData uri="http://schemas.openxmlformats.org/drawingml/2006/picture">
                      <pic:pic xmlns:pic="http://schemas.openxmlformats.org/drawingml/2006/picture">
                        <pic:nvPicPr>
                          <pic:cNvPr id="202" name="AutoShape_1_SpCnt_9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4256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05" name="AutoShape_2_SpCnt_88"/>
                  <wp:cNvGraphicFramePr/>
                  <a:graphic xmlns:a="http://schemas.openxmlformats.org/drawingml/2006/main">
                    <a:graphicData uri="http://schemas.openxmlformats.org/drawingml/2006/picture">
                      <pic:pic xmlns:pic="http://schemas.openxmlformats.org/drawingml/2006/picture">
                        <pic:nvPicPr>
                          <pic:cNvPr id="205" name="AutoShape_2_SpCnt_8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4358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87" name="AutoShape_1_SpCnt_91"/>
                  <wp:cNvGraphicFramePr/>
                  <a:graphic xmlns:a="http://schemas.openxmlformats.org/drawingml/2006/main">
                    <a:graphicData uri="http://schemas.openxmlformats.org/drawingml/2006/picture">
                      <pic:pic xmlns:pic="http://schemas.openxmlformats.org/drawingml/2006/picture">
                        <pic:nvPicPr>
                          <pic:cNvPr id="187" name="AutoShape_1_SpCnt_9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4460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88" name="AutoShape_2_SpCnt_89"/>
                  <wp:cNvGraphicFramePr/>
                  <a:graphic xmlns:a="http://schemas.openxmlformats.org/drawingml/2006/main">
                    <a:graphicData uri="http://schemas.openxmlformats.org/drawingml/2006/picture">
                      <pic:pic xmlns:pic="http://schemas.openxmlformats.org/drawingml/2006/picture">
                        <pic:nvPicPr>
                          <pic:cNvPr id="188" name="AutoShape_2_SpCnt_8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4563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75" name="AutoShape_1_SpCnt_92"/>
                  <wp:cNvGraphicFramePr/>
                  <a:graphic xmlns:a="http://schemas.openxmlformats.org/drawingml/2006/main">
                    <a:graphicData uri="http://schemas.openxmlformats.org/drawingml/2006/picture">
                      <pic:pic xmlns:pic="http://schemas.openxmlformats.org/drawingml/2006/picture">
                        <pic:nvPicPr>
                          <pic:cNvPr id="175" name="AutoShape_1_SpCnt_9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4665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90" name="AutoShape_2_SpCnt_90"/>
                  <wp:cNvGraphicFramePr/>
                  <a:graphic xmlns:a="http://schemas.openxmlformats.org/drawingml/2006/main">
                    <a:graphicData uri="http://schemas.openxmlformats.org/drawingml/2006/picture">
                      <pic:pic xmlns:pic="http://schemas.openxmlformats.org/drawingml/2006/picture">
                        <pic:nvPicPr>
                          <pic:cNvPr id="190" name="AutoShape_2_SpCnt_9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4768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91" name="AutoShape_1_SpCnt_93"/>
                  <wp:cNvGraphicFramePr/>
                  <a:graphic xmlns:a="http://schemas.openxmlformats.org/drawingml/2006/main">
                    <a:graphicData uri="http://schemas.openxmlformats.org/drawingml/2006/picture">
                      <pic:pic xmlns:pic="http://schemas.openxmlformats.org/drawingml/2006/picture">
                        <pic:nvPicPr>
                          <pic:cNvPr id="191" name="AutoShape_1_SpCnt_9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4870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94" name="AutoShape_2_SpCnt_91"/>
                  <wp:cNvGraphicFramePr/>
                  <a:graphic xmlns:a="http://schemas.openxmlformats.org/drawingml/2006/main">
                    <a:graphicData uri="http://schemas.openxmlformats.org/drawingml/2006/picture">
                      <pic:pic xmlns:pic="http://schemas.openxmlformats.org/drawingml/2006/picture">
                        <pic:nvPicPr>
                          <pic:cNvPr id="194" name="AutoShape_2_SpCnt_9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4972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78" name="AutoShape_1_SpCnt_94"/>
                  <wp:cNvGraphicFramePr/>
                  <a:graphic xmlns:a="http://schemas.openxmlformats.org/drawingml/2006/main">
                    <a:graphicData uri="http://schemas.openxmlformats.org/drawingml/2006/picture">
                      <pic:pic xmlns:pic="http://schemas.openxmlformats.org/drawingml/2006/picture">
                        <pic:nvPicPr>
                          <pic:cNvPr id="178" name="AutoShape_1_SpCnt_9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5075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29" name="AutoShape_2_SpCnt_92"/>
                  <wp:cNvGraphicFramePr/>
                  <a:graphic xmlns:a="http://schemas.openxmlformats.org/drawingml/2006/main">
                    <a:graphicData uri="http://schemas.openxmlformats.org/drawingml/2006/picture">
                      <pic:pic xmlns:pic="http://schemas.openxmlformats.org/drawingml/2006/picture">
                        <pic:nvPicPr>
                          <pic:cNvPr id="229" name="AutoShape_2_SpCnt_9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5177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12" name="AutoShape_1_SpCnt_95"/>
                  <wp:cNvGraphicFramePr/>
                  <a:graphic xmlns:a="http://schemas.openxmlformats.org/drawingml/2006/main">
                    <a:graphicData uri="http://schemas.openxmlformats.org/drawingml/2006/picture">
                      <pic:pic xmlns:pic="http://schemas.openxmlformats.org/drawingml/2006/picture">
                        <pic:nvPicPr>
                          <pic:cNvPr id="212" name="AutoShape_1_SpCnt_9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5280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28" name="AutoShape_2_SpCnt_93"/>
                  <wp:cNvGraphicFramePr/>
                  <a:graphic xmlns:a="http://schemas.openxmlformats.org/drawingml/2006/main">
                    <a:graphicData uri="http://schemas.openxmlformats.org/drawingml/2006/picture">
                      <pic:pic xmlns:pic="http://schemas.openxmlformats.org/drawingml/2006/picture">
                        <pic:nvPicPr>
                          <pic:cNvPr id="228" name="AutoShape_2_SpCnt_9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5382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36" name="AutoShape_1_SpCnt_96"/>
                  <wp:cNvGraphicFramePr/>
                  <a:graphic xmlns:a="http://schemas.openxmlformats.org/drawingml/2006/main">
                    <a:graphicData uri="http://schemas.openxmlformats.org/drawingml/2006/picture">
                      <pic:pic xmlns:pic="http://schemas.openxmlformats.org/drawingml/2006/picture">
                        <pic:nvPicPr>
                          <pic:cNvPr id="236" name="AutoShape_1_SpCnt_9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5484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26" name="AutoShape_2_SpCnt_94"/>
                  <wp:cNvGraphicFramePr/>
                  <a:graphic xmlns:a="http://schemas.openxmlformats.org/drawingml/2006/main">
                    <a:graphicData uri="http://schemas.openxmlformats.org/drawingml/2006/picture">
                      <pic:pic xmlns:pic="http://schemas.openxmlformats.org/drawingml/2006/picture">
                        <pic:nvPicPr>
                          <pic:cNvPr id="226" name="AutoShape_2_SpCnt_9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5587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30" name="AutoShape_1_SpCnt_97"/>
                  <wp:cNvGraphicFramePr/>
                  <a:graphic xmlns:a="http://schemas.openxmlformats.org/drawingml/2006/main">
                    <a:graphicData uri="http://schemas.openxmlformats.org/drawingml/2006/picture">
                      <pic:pic xmlns:pic="http://schemas.openxmlformats.org/drawingml/2006/picture">
                        <pic:nvPicPr>
                          <pic:cNvPr id="230" name="AutoShape_1_SpCnt_9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5689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37" name="AutoShape_2_SpCnt_95"/>
                  <wp:cNvGraphicFramePr/>
                  <a:graphic xmlns:a="http://schemas.openxmlformats.org/drawingml/2006/main">
                    <a:graphicData uri="http://schemas.openxmlformats.org/drawingml/2006/picture">
                      <pic:pic xmlns:pic="http://schemas.openxmlformats.org/drawingml/2006/picture">
                        <pic:nvPicPr>
                          <pic:cNvPr id="237" name="AutoShape_2_SpCnt_9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5792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35" name="AutoShape_1_SpCnt_98"/>
                  <wp:cNvGraphicFramePr/>
                  <a:graphic xmlns:a="http://schemas.openxmlformats.org/drawingml/2006/main">
                    <a:graphicData uri="http://schemas.openxmlformats.org/drawingml/2006/picture">
                      <pic:pic xmlns:pic="http://schemas.openxmlformats.org/drawingml/2006/picture">
                        <pic:nvPicPr>
                          <pic:cNvPr id="235" name="AutoShape_1_SpCnt_9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5894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25" name="AutoShape_2_SpCnt_96"/>
                  <wp:cNvGraphicFramePr/>
                  <a:graphic xmlns:a="http://schemas.openxmlformats.org/drawingml/2006/main">
                    <a:graphicData uri="http://schemas.openxmlformats.org/drawingml/2006/picture">
                      <pic:pic xmlns:pic="http://schemas.openxmlformats.org/drawingml/2006/picture">
                        <pic:nvPicPr>
                          <pic:cNvPr id="225" name="AutoShape_2_SpCnt_9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5996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06" name="AutoShape_1_SpCnt_99"/>
                  <wp:cNvGraphicFramePr/>
                  <a:graphic xmlns:a="http://schemas.openxmlformats.org/drawingml/2006/main">
                    <a:graphicData uri="http://schemas.openxmlformats.org/drawingml/2006/picture">
                      <pic:pic xmlns:pic="http://schemas.openxmlformats.org/drawingml/2006/picture">
                        <pic:nvPicPr>
                          <pic:cNvPr id="206" name="AutoShape_1_SpCnt_9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6099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31" name="AutoShape_2_SpCnt_97"/>
                  <wp:cNvGraphicFramePr/>
                  <a:graphic xmlns:a="http://schemas.openxmlformats.org/drawingml/2006/main">
                    <a:graphicData uri="http://schemas.openxmlformats.org/drawingml/2006/picture">
                      <pic:pic xmlns:pic="http://schemas.openxmlformats.org/drawingml/2006/picture">
                        <pic:nvPicPr>
                          <pic:cNvPr id="231" name="AutoShape_2_SpCnt_9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6201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33" name="AutoShape_1_SpCnt_100"/>
                  <wp:cNvGraphicFramePr/>
                  <a:graphic xmlns:a="http://schemas.openxmlformats.org/drawingml/2006/main">
                    <a:graphicData uri="http://schemas.openxmlformats.org/drawingml/2006/picture">
                      <pic:pic xmlns:pic="http://schemas.openxmlformats.org/drawingml/2006/picture">
                        <pic:nvPicPr>
                          <pic:cNvPr id="233" name="AutoShape_1_SpCnt_10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6304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32" name="AutoShape_2_SpCnt_98"/>
                  <wp:cNvGraphicFramePr/>
                  <a:graphic xmlns:a="http://schemas.openxmlformats.org/drawingml/2006/main">
                    <a:graphicData uri="http://schemas.openxmlformats.org/drawingml/2006/picture">
                      <pic:pic xmlns:pic="http://schemas.openxmlformats.org/drawingml/2006/picture">
                        <pic:nvPicPr>
                          <pic:cNvPr id="232" name="AutoShape_2_SpCnt_9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6406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09" name="AutoShape_1_SpCnt_101"/>
                  <wp:cNvGraphicFramePr/>
                  <a:graphic xmlns:a="http://schemas.openxmlformats.org/drawingml/2006/main">
                    <a:graphicData uri="http://schemas.openxmlformats.org/drawingml/2006/picture">
                      <pic:pic xmlns:pic="http://schemas.openxmlformats.org/drawingml/2006/picture">
                        <pic:nvPicPr>
                          <pic:cNvPr id="209" name="AutoShape_1_SpCnt_10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6508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13" name="AutoShape_2_SpCnt_99"/>
                  <wp:cNvGraphicFramePr/>
                  <a:graphic xmlns:a="http://schemas.openxmlformats.org/drawingml/2006/main">
                    <a:graphicData uri="http://schemas.openxmlformats.org/drawingml/2006/picture">
                      <pic:pic xmlns:pic="http://schemas.openxmlformats.org/drawingml/2006/picture">
                        <pic:nvPicPr>
                          <pic:cNvPr id="213" name="AutoShape_2_SpCnt_9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6611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34" name="AutoShape_1_SpCnt_102"/>
                  <wp:cNvGraphicFramePr/>
                  <a:graphic xmlns:a="http://schemas.openxmlformats.org/drawingml/2006/main">
                    <a:graphicData uri="http://schemas.openxmlformats.org/drawingml/2006/picture">
                      <pic:pic xmlns:pic="http://schemas.openxmlformats.org/drawingml/2006/picture">
                        <pic:nvPicPr>
                          <pic:cNvPr id="234" name="AutoShape_1_SpCnt_10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6713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21" name="AutoShape_1_SpCnt_103"/>
                  <wp:cNvGraphicFramePr/>
                  <a:graphic xmlns:a="http://schemas.openxmlformats.org/drawingml/2006/main">
                    <a:graphicData uri="http://schemas.openxmlformats.org/drawingml/2006/picture">
                      <pic:pic xmlns:pic="http://schemas.openxmlformats.org/drawingml/2006/picture">
                        <pic:nvPicPr>
                          <pic:cNvPr id="221" name="AutoShape_1_SpCnt_10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6816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10" name="AutoShape_2_SpCnt_100"/>
                  <wp:cNvGraphicFramePr/>
                  <a:graphic xmlns:a="http://schemas.openxmlformats.org/drawingml/2006/main">
                    <a:graphicData uri="http://schemas.openxmlformats.org/drawingml/2006/picture">
                      <pic:pic xmlns:pic="http://schemas.openxmlformats.org/drawingml/2006/picture">
                        <pic:nvPicPr>
                          <pic:cNvPr id="210" name="AutoShape_2_SpCnt_10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6918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07" name="AutoShape_1_SpCnt_104"/>
                  <wp:cNvGraphicFramePr/>
                  <a:graphic xmlns:a="http://schemas.openxmlformats.org/drawingml/2006/main">
                    <a:graphicData uri="http://schemas.openxmlformats.org/drawingml/2006/picture">
                      <pic:pic xmlns:pic="http://schemas.openxmlformats.org/drawingml/2006/picture">
                        <pic:nvPicPr>
                          <pic:cNvPr id="207" name="AutoShape_1_SpCnt_10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7020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08" name="AutoShape_2_SpCnt_101"/>
                  <wp:cNvGraphicFramePr/>
                  <a:graphic xmlns:a="http://schemas.openxmlformats.org/drawingml/2006/main">
                    <a:graphicData uri="http://schemas.openxmlformats.org/drawingml/2006/picture">
                      <pic:pic xmlns:pic="http://schemas.openxmlformats.org/drawingml/2006/picture">
                        <pic:nvPicPr>
                          <pic:cNvPr id="208" name="AutoShape_2_SpCnt_10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7123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11" name="AutoShape_1_SpCnt_105"/>
                  <wp:cNvGraphicFramePr/>
                  <a:graphic xmlns:a="http://schemas.openxmlformats.org/drawingml/2006/main">
                    <a:graphicData uri="http://schemas.openxmlformats.org/drawingml/2006/picture">
                      <pic:pic xmlns:pic="http://schemas.openxmlformats.org/drawingml/2006/picture">
                        <pic:nvPicPr>
                          <pic:cNvPr id="211" name="AutoShape_1_SpCnt_10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7225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14" name="AutoShape_2_SpCnt_102"/>
                  <wp:cNvGraphicFramePr/>
                  <a:graphic xmlns:a="http://schemas.openxmlformats.org/drawingml/2006/main">
                    <a:graphicData uri="http://schemas.openxmlformats.org/drawingml/2006/picture">
                      <pic:pic xmlns:pic="http://schemas.openxmlformats.org/drawingml/2006/picture">
                        <pic:nvPicPr>
                          <pic:cNvPr id="214" name="AutoShape_2_SpCnt_10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7328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27" name="AutoShape_1_SpCnt_106"/>
                  <wp:cNvGraphicFramePr/>
                  <a:graphic xmlns:a="http://schemas.openxmlformats.org/drawingml/2006/main">
                    <a:graphicData uri="http://schemas.openxmlformats.org/drawingml/2006/picture">
                      <pic:pic xmlns:pic="http://schemas.openxmlformats.org/drawingml/2006/picture">
                        <pic:nvPicPr>
                          <pic:cNvPr id="227" name="AutoShape_1_SpCnt_10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7430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19" name="AutoShape_2_SpCnt_103"/>
                  <wp:cNvGraphicFramePr/>
                  <a:graphic xmlns:a="http://schemas.openxmlformats.org/drawingml/2006/main">
                    <a:graphicData uri="http://schemas.openxmlformats.org/drawingml/2006/picture">
                      <pic:pic xmlns:pic="http://schemas.openxmlformats.org/drawingml/2006/picture">
                        <pic:nvPicPr>
                          <pic:cNvPr id="219" name="AutoShape_2_SpCnt_10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7532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15" name="AutoShape_1_SpCnt_107"/>
                  <wp:cNvGraphicFramePr/>
                  <a:graphic xmlns:a="http://schemas.openxmlformats.org/drawingml/2006/main">
                    <a:graphicData uri="http://schemas.openxmlformats.org/drawingml/2006/picture">
                      <pic:pic xmlns:pic="http://schemas.openxmlformats.org/drawingml/2006/picture">
                        <pic:nvPicPr>
                          <pic:cNvPr id="215" name="AutoShape_1_SpCnt_10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7635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16" name="AutoShape_2_SpCnt_104"/>
                  <wp:cNvGraphicFramePr/>
                  <a:graphic xmlns:a="http://schemas.openxmlformats.org/drawingml/2006/main">
                    <a:graphicData uri="http://schemas.openxmlformats.org/drawingml/2006/picture">
                      <pic:pic xmlns:pic="http://schemas.openxmlformats.org/drawingml/2006/picture">
                        <pic:nvPicPr>
                          <pic:cNvPr id="216" name="AutoShape_2_SpCnt_10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7737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17" name="AutoShape_1_SpCnt_108"/>
                  <wp:cNvGraphicFramePr/>
                  <a:graphic xmlns:a="http://schemas.openxmlformats.org/drawingml/2006/main">
                    <a:graphicData uri="http://schemas.openxmlformats.org/drawingml/2006/picture">
                      <pic:pic xmlns:pic="http://schemas.openxmlformats.org/drawingml/2006/picture">
                        <pic:nvPicPr>
                          <pic:cNvPr id="217" name="AutoShape_1_SpCnt_10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7840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18" name="AutoShape_1_SpCnt_109"/>
                  <wp:cNvGraphicFramePr/>
                  <a:graphic xmlns:a="http://schemas.openxmlformats.org/drawingml/2006/main">
                    <a:graphicData uri="http://schemas.openxmlformats.org/drawingml/2006/picture">
                      <pic:pic xmlns:pic="http://schemas.openxmlformats.org/drawingml/2006/picture">
                        <pic:nvPicPr>
                          <pic:cNvPr id="218" name="AutoShape_1_SpCnt_10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7942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20" name="AutoShape_1_SpCnt_110"/>
                  <wp:cNvGraphicFramePr/>
                  <a:graphic xmlns:a="http://schemas.openxmlformats.org/drawingml/2006/main">
                    <a:graphicData uri="http://schemas.openxmlformats.org/drawingml/2006/picture">
                      <pic:pic xmlns:pic="http://schemas.openxmlformats.org/drawingml/2006/picture">
                        <pic:nvPicPr>
                          <pic:cNvPr id="220" name="AutoShape_1_SpCnt_11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8044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22" name="AutoShape_2_SpCnt_105"/>
                  <wp:cNvGraphicFramePr/>
                  <a:graphic xmlns:a="http://schemas.openxmlformats.org/drawingml/2006/main">
                    <a:graphicData uri="http://schemas.openxmlformats.org/drawingml/2006/picture">
                      <pic:pic xmlns:pic="http://schemas.openxmlformats.org/drawingml/2006/picture">
                        <pic:nvPicPr>
                          <pic:cNvPr id="222" name="AutoShape_2_SpCnt_10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8147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24" name="AutoShape_1_SpCnt_111"/>
                  <wp:cNvGraphicFramePr/>
                  <a:graphic xmlns:a="http://schemas.openxmlformats.org/drawingml/2006/main">
                    <a:graphicData uri="http://schemas.openxmlformats.org/drawingml/2006/picture">
                      <pic:pic xmlns:pic="http://schemas.openxmlformats.org/drawingml/2006/picture">
                        <pic:nvPicPr>
                          <pic:cNvPr id="224" name="AutoShape_1_SpCnt_11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8249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23" name="AutoShape_2_SpCnt_106"/>
                  <wp:cNvGraphicFramePr/>
                  <a:graphic xmlns:a="http://schemas.openxmlformats.org/drawingml/2006/main">
                    <a:graphicData uri="http://schemas.openxmlformats.org/drawingml/2006/picture">
                      <pic:pic xmlns:pic="http://schemas.openxmlformats.org/drawingml/2006/picture">
                        <pic:nvPicPr>
                          <pic:cNvPr id="223" name="AutoShape_2_SpCnt_10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8352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50" name="AutoShape_1_SpCnt_112"/>
                  <wp:cNvGraphicFramePr/>
                  <a:graphic xmlns:a="http://schemas.openxmlformats.org/drawingml/2006/main">
                    <a:graphicData uri="http://schemas.openxmlformats.org/drawingml/2006/picture">
                      <pic:pic xmlns:pic="http://schemas.openxmlformats.org/drawingml/2006/picture">
                        <pic:nvPicPr>
                          <pic:cNvPr id="250" name="AutoShape_1_SpCnt_11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8454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41" name="AutoShape_2_SpCnt_107"/>
                  <wp:cNvGraphicFramePr/>
                  <a:graphic xmlns:a="http://schemas.openxmlformats.org/drawingml/2006/main">
                    <a:graphicData uri="http://schemas.openxmlformats.org/drawingml/2006/picture">
                      <pic:pic xmlns:pic="http://schemas.openxmlformats.org/drawingml/2006/picture">
                        <pic:nvPicPr>
                          <pic:cNvPr id="241" name="AutoShape_2_SpCnt_10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8556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40" name="AutoShape_1_SpCnt_113"/>
                  <wp:cNvGraphicFramePr/>
                  <a:graphic xmlns:a="http://schemas.openxmlformats.org/drawingml/2006/main">
                    <a:graphicData uri="http://schemas.openxmlformats.org/drawingml/2006/picture">
                      <pic:pic xmlns:pic="http://schemas.openxmlformats.org/drawingml/2006/picture">
                        <pic:nvPicPr>
                          <pic:cNvPr id="240" name="AutoShape_1_SpCnt_11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8659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38" name="AutoShape_2_SpCnt_108"/>
                  <wp:cNvGraphicFramePr/>
                  <a:graphic xmlns:a="http://schemas.openxmlformats.org/drawingml/2006/main">
                    <a:graphicData uri="http://schemas.openxmlformats.org/drawingml/2006/picture">
                      <pic:pic xmlns:pic="http://schemas.openxmlformats.org/drawingml/2006/picture">
                        <pic:nvPicPr>
                          <pic:cNvPr id="238" name="AutoShape_2_SpCnt_10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8761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45" name="AutoShape_1_SpCnt_114"/>
                  <wp:cNvGraphicFramePr/>
                  <a:graphic xmlns:a="http://schemas.openxmlformats.org/drawingml/2006/main">
                    <a:graphicData uri="http://schemas.openxmlformats.org/drawingml/2006/picture">
                      <pic:pic xmlns:pic="http://schemas.openxmlformats.org/drawingml/2006/picture">
                        <pic:nvPicPr>
                          <pic:cNvPr id="245" name="AutoShape_1_SpCnt_11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8864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57" name="AutoShape_2_SpCnt_109"/>
                  <wp:cNvGraphicFramePr/>
                  <a:graphic xmlns:a="http://schemas.openxmlformats.org/drawingml/2006/main">
                    <a:graphicData uri="http://schemas.openxmlformats.org/drawingml/2006/picture">
                      <pic:pic xmlns:pic="http://schemas.openxmlformats.org/drawingml/2006/picture">
                        <pic:nvPicPr>
                          <pic:cNvPr id="257" name="AutoShape_2_SpCnt_10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8966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63" name="AutoShape_1_SpCnt_115"/>
                  <wp:cNvGraphicFramePr/>
                  <a:graphic xmlns:a="http://schemas.openxmlformats.org/drawingml/2006/main">
                    <a:graphicData uri="http://schemas.openxmlformats.org/drawingml/2006/picture">
                      <pic:pic xmlns:pic="http://schemas.openxmlformats.org/drawingml/2006/picture">
                        <pic:nvPicPr>
                          <pic:cNvPr id="263" name="AutoShape_1_SpCnt_11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9068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64" name="AutoShape_2_SpCnt_110"/>
                  <wp:cNvGraphicFramePr/>
                  <a:graphic xmlns:a="http://schemas.openxmlformats.org/drawingml/2006/main">
                    <a:graphicData uri="http://schemas.openxmlformats.org/drawingml/2006/picture">
                      <pic:pic xmlns:pic="http://schemas.openxmlformats.org/drawingml/2006/picture">
                        <pic:nvPicPr>
                          <pic:cNvPr id="264" name="AutoShape_2_SpCnt_11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9171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58" name="AutoShape_1_SpCnt_116"/>
                  <wp:cNvGraphicFramePr/>
                  <a:graphic xmlns:a="http://schemas.openxmlformats.org/drawingml/2006/main">
                    <a:graphicData uri="http://schemas.openxmlformats.org/drawingml/2006/picture">
                      <pic:pic xmlns:pic="http://schemas.openxmlformats.org/drawingml/2006/picture">
                        <pic:nvPicPr>
                          <pic:cNvPr id="258" name="AutoShape_1_SpCnt_11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9273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65" name="AutoShape_2_SpCnt_111"/>
                  <wp:cNvGraphicFramePr/>
                  <a:graphic xmlns:a="http://schemas.openxmlformats.org/drawingml/2006/main">
                    <a:graphicData uri="http://schemas.openxmlformats.org/drawingml/2006/picture">
                      <pic:pic xmlns:pic="http://schemas.openxmlformats.org/drawingml/2006/picture">
                        <pic:nvPicPr>
                          <pic:cNvPr id="265" name="AutoShape_2_SpCnt_11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9376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59" name="AutoShape_1_SpCnt_117"/>
                  <wp:cNvGraphicFramePr/>
                  <a:graphic xmlns:a="http://schemas.openxmlformats.org/drawingml/2006/main">
                    <a:graphicData uri="http://schemas.openxmlformats.org/drawingml/2006/picture">
                      <pic:pic xmlns:pic="http://schemas.openxmlformats.org/drawingml/2006/picture">
                        <pic:nvPicPr>
                          <pic:cNvPr id="259" name="AutoShape_1_SpCnt_11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9478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61" name="AutoShape_2_SpCnt_112"/>
                  <wp:cNvGraphicFramePr/>
                  <a:graphic xmlns:a="http://schemas.openxmlformats.org/drawingml/2006/main">
                    <a:graphicData uri="http://schemas.openxmlformats.org/drawingml/2006/picture">
                      <pic:pic xmlns:pic="http://schemas.openxmlformats.org/drawingml/2006/picture">
                        <pic:nvPicPr>
                          <pic:cNvPr id="261" name="AutoShape_2_SpCnt_11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9580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53" name="AutoShape_1_SpCnt_118"/>
                  <wp:cNvGraphicFramePr/>
                  <a:graphic xmlns:a="http://schemas.openxmlformats.org/drawingml/2006/main">
                    <a:graphicData uri="http://schemas.openxmlformats.org/drawingml/2006/picture">
                      <pic:pic xmlns:pic="http://schemas.openxmlformats.org/drawingml/2006/picture">
                        <pic:nvPicPr>
                          <pic:cNvPr id="253" name="AutoShape_1_SpCnt_11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9683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62" name="AutoShape_2_SpCnt_113"/>
                  <wp:cNvGraphicFramePr/>
                  <a:graphic xmlns:a="http://schemas.openxmlformats.org/drawingml/2006/main">
                    <a:graphicData uri="http://schemas.openxmlformats.org/drawingml/2006/picture">
                      <pic:pic xmlns:pic="http://schemas.openxmlformats.org/drawingml/2006/picture">
                        <pic:nvPicPr>
                          <pic:cNvPr id="262" name="AutoShape_2_SpCnt_11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9785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68" name="AutoShape_1_SpCnt_119"/>
                  <wp:cNvGraphicFramePr/>
                  <a:graphic xmlns:a="http://schemas.openxmlformats.org/drawingml/2006/main">
                    <a:graphicData uri="http://schemas.openxmlformats.org/drawingml/2006/picture">
                      <pic:pic xmlns:pic="http://schemas.openxmlformats.org/drawingml/2006/picture">
                        <pic:nvPicPr>
                          <pic:cNvPr id="268" name="AutoShape_1_SpCnt_11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9888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42" name="AutoShape_2_SpCnt_114"/>
                  <wp:cNvGraphicFramePr/>
                  <a:graphic xmlns:a="http://schemas.openxmlformats.org/drawingml/2006/main">
                    <a:graphicData uri="http://schemas.openxmlformats.org/drawingml/2006/picture">
                      <pic:pic xmlns:pic="http://schemas.openxmlformats.org/drawingml/2006/picture">
                        <pic:nvPicPr>
                          <pic:cNvPr id="242" name="AutoShape_2_SpCnt_11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89990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66" name="AutoShape_1_SpCnt_120"/>
                  <wp:cNvGraphicFramePr/>
                  <a:graphic xmlns:a="http://schemas.openxmlformats.org/drawingml/2006/main">
                    <a:graphicData uri="http://schemas.openxmlformats.org/drawingml/2006/picture">
                      <pic:pic xmlns:pic="http://schemas.openxmlformats.org/drawingml/2006/picture">
                        <pic:nvPicPr>
                          <pic:cNvPr id="266" name="AutoShape_1_SpCnt_12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0092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48" name="AutoShape_2_SpCnt_115"/>
                  <wp:cNvGraphicFramePr/>
                  <a:graphic xmlns:a="http://schemas.openxmlformats.org/drawingml/2006/main">
                    <a:graphicData uri="http://schemas.openxmlformats.org/drawingml/2006/picture">
                      <pic:pic xmlns:pic="http://schemas.openxmlformats.org/drawingml/2006/picture">
                        <pic:nvPicPr>
                          <pic:cNvPr id="248" name="AutoShape_2_SpCnt_11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0195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60" name="AutoShape_1_SpCnt_121"/>
                  <wp:cNvGraphicFramePr/>
                  <a:graphic xmlns:a="http://schemas.openxmlformats.org/drawingml/2006/main">
                    <a:graphicData uri="http://schemas.openxmlformats.org/drawingml/2006/picture">
                      <pic:pic xmlns:pic="http://schemas.openxmlformats.org/drawingml/2006/picture">
                        <pic:nvPicPr>
                          <pic:cNvPr id="260" name="AutoShape_1_SpCnt_12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0297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43" name="AutoShape_2_SpCnt_116"/>
                  <wp:cNvGraphicFramePr/>
                  <a:graphic xmlns:a="http://schemas.openxmlformats.org/drawingml/2006/main">
                    <a:graphicData uri="http://schemas.openxmlformats.org/drawingml/2006/picture">
                      <pic:pic xmlns:pic="http://schemas.openxmlformats.org/drawingml/2006/picture">
                        <pic:nvPicPr>
                          <pic:cNvPr id="243" name="AutoShape_2_SpCnt_11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0400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39" name="AutoShape_1_SpCnt_122"/>
                  <wp:cNvGraphicFramePr/>
                  <a:graphic xmlns:a="http://schemas.openxmlformats.org/drawingml/2006/main">
                    <a:graphicData uri="http://schemas.openxmlformats.org/drawingml/2006/picture">
                      <pic:pic xmlns:pic="http://schemas.openxmlformats.org/drawingml/2006/picture">
                        <pic:nvPicPr>
                          <pic:cNvPr id="239" name="AutoShape_1_SpCnt_12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0502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46" name="AutoShape_2_SpCnt_117"/>
                  <wp:cNvGraphicFramePr/>
                  <a:graphic xmlns:a="http://schemas.openxmlformats.org/drawingml/2006/main">
                    <a:graphicData uri="http://schemas.openxmlformats.org/drawingml/2006/picture">
                      <pic:pic xmlns:pic="http://schemas.openxmlformats.org/drawingml/2006/picture">
                        <pic:nvPicPr>
                          <pic:cNvPr id="246" name="AutoShape_2_SpCnt_11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0604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44" name="AutoShape_1_SpCnt_123"/>
                  <wp:cNvGraphicFramePr/>
                  <a:graphic xmlns:a="http://schemas.openxmlformats.org/drawingml/2006/main">
                    <a:graphicData uri="http://schemas.openxmlformats.org/drawingml/2006/picture">
                      <pic:pic xmlns:pic="http://schemas.openxmlformats.org/drawingml/2006/picture">
                        <pic:nvPicPr>
                          <pic:cNvPr id="244" name="AutoShape_1_SpCnt_12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0707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67" name="AutoShape_2_SpCnt_118"/>
                  <wp:cNvGraphicFramePr/>
                  <a:graphic xmlns:a="http://schemas.openxmlformats.org/drawingml/2006/main">
                    <a:graphicData uri="http://schemas.openxmlformats.org/drawingml/2006/picture">
                      <pic:pic xmlns:pic="http://schemas.openxmlformats.org/drawingml/2006/picture">
                        <pic:nvPicPr>
                          <pic:cNvPr id="267" name="AutoShape_2_SpCnt_11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0809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69" name="AutoShape_1_SpCnt_124"/>
                  <wp:cNvGraphicFramePr/>
                  <a:graphic xmlns:a="http://schemas.openxmlformats.org/drawingml/2006/main">
                    <a:graphicData uri="http://schemas.openxmlformats.org/drawingml/2006/picture">
                      <pic:pic xmlns:pic="http://schemas.openxmlformats.org/drawingml/2006/picture">
                        <pic:nvPicPr>
                          <pic:cNvPr id="269" name="AutoShape_1_SpCnt_12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0912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47" name="AutoShape_2_SpCnt_119"/>
                  <wp:cNvGraphicFramePr/>
                  <a:graphic xmlns:a="http://schemas.openxmlformats.org/drawingml/2006/main">
                    <a:graphicData uri="http://schemas.openxmlformats.org/drawingml/2006/picture">
                      <pic:pic xmlns:pic="http://schemas.openxmlformats.org/drawingml/2006/picture">
                        <pic:nvPicPr>
                          <pic:cNvPr id="247" name="AutoShape_2_SpCnt_11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1014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52" name="AutoShape_1_SpCnt_125"/>
                  <wp:cNvGraphicFramePr/>
                  <a:graphic xmlns:a="http://schemas.openxmlformats.org/drawingml/2006/main">
                    <a:graphicData uri="http://schemas.openxmlformats.org/drawingml/2006/picture">
                      <pic:pic xmlns:pic="http://schemas.openxmlformats.org/drawingml/2006/picture">
                        <pic:nvPicPr>
                          <pic:cNvPr id="252" name="AutoShape_1_SpCnt_12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1116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49" name="AutoShape_1_SpCnt_126"/>
                  <wp:cNvGraphicFramePr/>
                  <a:graphic xmlns:a="http://schemas.openxmlformats.org/drawingml/2006/main">
                    <a:graphicData uri="http://schemas.openxmlformats.org/drawingml/2006/picture">
                      <pic:pic xmlns:pic="http://schemas.openxmlformats.org/drawingml/2006/picture">
                        <pic:nvPicPr>
                          <pic:cNvPr id="249" name="AutoShape_1_SpCnt_12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1219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51" name="AutoShape_1_SpCnt_127"/>
                  <wp:cNvGraphicFramePr/>
                  <a:graphic xmlns:a="http://schemas.openxmlformats.org/drawingml/2006/main">
                    <a:graphicData uri="http://schemas.openxmlformats.org/drawingml/2006/picture">
                      <pic:pic xmlns:pic="http://schemas.openxmlformats.org/drawingml/2006/picture">
                        <pic:nvPicPr>
                          <pic:cNvPr id="251" name="AutoShape_1_SpCnt_12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1321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54" name="AutoShape_2_SpCnt_120"/>
                  <wp:cNvGraphicFramePr/>
                  <a:graphic xmlns:a="http://schemas.openxmlformats.org/drawingml/2006/main">
                    <a:graphicData uri="http://schemas.openxmlformats.org/drawingml/2006/picture">
                      <pic:pic xmlns:pic="http://schemas.openxmlformats.org/drawingml/2006/picture">
                        <pic:nvPicPr>
                          <pic:cNvPr id="254" name="AutoShape_2_SpCnt_12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1424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55" name="AutoShape_1_SpCnt_128"/>
                  <wp:cNvGraphicFramePr/>
                  <a:graphic xmlns:a="http://schemas.openxmlformats.org/drawingml/2006/main">
                    <a:graphicData uri="http://schemas.openxmlformats.org/drawingml/2006/picture">
                      <pic:pic xmlns:pic="http://schemas.openxmlformats.org/drawingml/2006/picture">
                        <pic:nvPicPr>
                          <pic:cNvPr id="255" name="AutoShape_1_SpCnt_12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1526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56" name="AutoShape_2_SpCnt_121"/>
                  <wp:cNvGraphicFramePr/>
                  <a:graphic xmlns:a="http://schemas.openxmlformats.org/drawingml/2006/main">
                    <a:graphicData uri="http://schemas.openxmlformats.org/drawingml/2006/picture">
                      <pic:pic xmlns:pic="http://schemas.openxmlformats.org/drawingml/2006/picture">
                        <pic:nvPicPr>
                          <pic:cNvPr id="256" name="AutoShape_2_SpCnt_12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1628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70" name="AutoShape_1_SpCnt_129"/>
                  <wp:cNvGraphicFramePr/>
                  <a:graphic xmlns:a="http://schemas.openxmlformats.org/drawingml/2006/main">
                    <a:graphicData uri="http://schemas.openxmlformats.org/drawingml/2006/picture">
                      <pic:pic xmlns:pic="http://schemas.openxmlformats.org/drawingml/2006/picture">
                        <pic:nvPicPr>
                          <pic:cNvPr id="270" name="AutoShape_1_SpCnt_12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1731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71" name="AutoShape_2_SpCnt_122"/>
                  <wp:cNvGraphicFramePr/>
                  <a:graphic xmlns:a="http://schemas.openxmlformats.org/drawingml/2006/main">
                    <a:graphicData uri="http://schemas.openxmlformats.org/drawingml/2006/picture">
                      <pic:pic xmlns:pic="http://schemas.openxmlformats.org/drawingml/2006/picture">
                        <pic:nvPicPr>
                          <pic:cNvPr id="271" name="AutoShape_2_SpCnt_12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1833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72" name="AutoShape_1_SpCnt_130"/>
                  <wp:cNvGraphicFramePr/>
                  <a:graphic xmlns:a="http://schemas.openxmlformats.org/drawingml/2006/main">
                    <a:graphicData uri="http://schemas.openxmlformats.org/drawingml/2006/picture">
                      <pic:pic xmlns:pic="http://schemas.openxmlformats.org/drawingml/2006/picture">
                        <pic:nvPicPr>
                          <pic:cNvPr id="272" name="AutoShape_1_SpCnt_13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1936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69" name="AutoShape_2_SpCnt_123"/>
                  <wp:cNvGraphicFramePr/>
                  <a:graphic xmlns:a="http://schemas.openxmlformats.org/drawingml/2006/main">
                    <a:graphicData uri="http://schemas.openxmlformats.org/drawingml/2006/picture">
                      <pic:pic xmlns:pic="http://schemas.openxmlformats.org/drawingml/2006/picture">
                        <pic:nvPicPr>
                          <pic:cNvPr id="169" name="AutoShape_2_SpCnt_12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2038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73" name="AutoShape_1_SpCnt_131"/>
                  <wp:cNvGraphicFramePr/>
                  <a:graphic xmlns:a="http://schemas.openxmlformats.org/drawingml/2006/main">
                    <a:graphicData uri="http://schemas.openxmlformats.org/drawingml/2006/picture">
                      <pic:pic xmlns:pic="http://schemas.openxmlformats.org/drawingml/2006/picture">
                        <pic:nvPicPr>
                          <pic:cNvPr id="173" name="AutoShape_1_SpCnt_13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2140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58" name="AutoShape_2_SpCnt_124"/>
                  <wp:cNvGraphicFramePr/>
                  <a:graphic xmlns:a="http://schemas.openxmlformats.org/drawingml/2006/main">
                    <a:graphicData uri="http://schemas.openxmlformats.org/drawingml/2006/picture">
                      <pic:pic xmlns:pic="http://schemas.openxmlformats.org/drawingml/2006/picture">
                        <pic:nvPicPr>
                          <pic:cNvPr id="158" name="AutoShape_2_SpCnt_12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2243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71" name="AutoShape_1_SpCnt_132"/>
                  <wp:cNvGraphicFramePr/>
                  <a:graphic xmlns:a="http://schemas.openxmlformats.org/drawingml/2006/main">
                    <a:graphicData uri="http://schemas.openxmlformats.org/drawingml/2006/picture">
                      <pic:pic xmlns:pic="http://schemas.openxmlformats.org/drawingml/2006/picture">
                        <pic:nvPicPr>
                          <pic:cNvPr id="171" name="AutoShape_1_SpCnt_132"/>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2345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70" name="AutoShape_1_SpCnt_133"/>
                  <wp:cNvGraphicFramePr/>
                  <a:graphic xmlns:a="http://schemas.openxmlformats.org/drawingml/2006/main">
                    <a:graphicData uri="http://schemas.openxmlformats.org/drawingml/2006/picture">
                      <pic:pic xmlns:pic="http://schemas.openxmlformats.org/drawingml/2006/picture">
                        <pic:nvPicPr>
                          <pic:cNvPr id="170" name="AutoShape_1_SpCnt_133"/>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2448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66" name="AutoShape_2_SpCnt_125"/>
                  <wp:cNvGraphicFramePr/>
                  <a:graphic xmlns:a="http://schemas.openxmlformats.org/drawingml/2006/main">
                    <a:graphicData uri="http://schemas.openxmlformats.org/drawingml/2006/picture">
                      <pic:pic xmlns:pic="http://schemas.openxmlformats.org/drawingml/2006/picture">
                        <pic:nvPicPr>
                          <pic:cNvPr id="166" name="AutoShape_2_SpCnt_12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2550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59" name="AutoShape_1_SpCnt_134"/>
                  <wp:cNvGraphicFramePr/>
                  <a:graphic xmlns:a="http://schemas.openxmlformats.org/drawingml/2006/main">
                    <a:graphicData uri="http://schemas.openxmlformats.org/drawingml/2006/picture">
                      <pic:pic xmlns:pic="http://schemas.openxmlformats.org/drawingml/2006/picture">
                        <pic:nvPicPr>
                          <pic:cNvPr id="159" name="AutoShape_1_SpCnt_134"/>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2652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61" name="AutoShape_1_SpCnt_135"/>
                  <wp:cNvGraphicFramePr/>
                  <a:graphic xmlns:a="http://schemas.openxmlformats.org/drawingml/2006/main">
                    <a:graphicData uri="http://schemas.openxmlformats.org/drawingml/2006/picture">
                      <pic:pic xmlns:pic="http://schemas.openxmlformats.org/drawingml/2006/picture">
                        <pic:nvPicPr>
                          <pic:cNvPr id="161" name="AutoShape_1_SpCnt_135"/>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2755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60" name="AutoShape_2_SpCnt_126"/>
                  <wp:cNvGraphicFramePr/>
                  <a:graphic xmlns:a="http://schemas.openxmlformats.org/drawingml/2006/main">
                    <a:graphicData uri="http://schemas.openxmlformats.org/drawingml/2006/picture">
                      <pic:pic xmlns:pic="http://schemas.openxmlformats.org/drawingml/2006/picture">
                        <pic:nvPicPr>
                          <pic:cNvPr id="160" name="AutoShape_2_SpCnt_12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2857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62" name="AutoShape_1_SpCnt_136"/>
                  <wp:cNvGraphicFramePr/>
                  <a:graphic xmlns:a="http://schemas.openxmlformats.org/drawingml/2006/main">
                    <a:graphicData uri="http://schemas.openxmlformats.org/drawingml/2006/picture">
                      <pic:pic xmlns:pic="http://schemas.openxmlformats.org/drawingml/2006/picture">
                        <pic:nvPicPr>
                          <pic:cNvPr id="162" name="AutoShape_1_SpCnt_136"/>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2960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63" name="AutoShape_2_SpCnt_127"/>
                  <wp:cNvGraphicFramePr/>
                  <a:graphic xmlns:a="http://schemas.openxmlformats.org/drawingml/2006/main">
                    <a:graphicData uri="http://schemas.openxmlformats.org/drawingml/2006/picture">
                      <pic:pic xmlns:pic="http://schemas.openxmlformats.org/drawingml/2006/picture">
                        <pic:nvPicPr>
                          <pic:cNvPr id="163" name="AutoShape_2_SpCnt_12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3062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68" name="AutoShape_1_SpCnt_137"/>
                  <wp:cNvGraphicFramePr/>
                  <a:graphic xmlns:a="http://schemas.openxmlformats.org/drawingml/2006/main">
                    <a:graphicData uri="http://schemas.openxmlformats.org/drawingml/2006/picture">
                      <pic:pic xmlns:pic="http://schemas.openxmlformats.org/drawingml/2006/picture">
                        <pic:nvPicPr>
                          <pic:cNvPr id="168" name="AutoShape_1_SpCnt_137"/>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3164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64" name="AutoShape_2_SpCnt_128"/>
                  <wp:cNvGraphicFramePr/>
                  <a:graphic xmlns:a="http://schemas.openxmlformats.org/drawingml/2006/main">
                    <a:graphicData uri="http://schemas.openxmlformats.org/drawingml/2006/picture">
                      <pic:pic xmlns:pic="http://schemas.openxmlformats.org/drawingml/2006/picture">
                        <pic:nvPicPr>
                          <pic:cNvPr id="164" name="AutoShape_2_SpCnt_12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32672"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65" name="AutoShape_1_SpCnt_138"/>
                  <wp:cNvGraphicFramePr/>
                  <a:graphic xmlns:a="http://schemas.openxmlformats.org/drawingml/2006/main">
                    <a:graphicData uri="http://schemas.openxmlformats.org/drawingml/2006/picture">
                      <pic:pic xmlns:pic="http://schemas.openxmlformats.org/drawingml/2006/picture">
                        <pic:nvPicPr>
                          <pic:cNvPr id="165" name="AutoShape_1_SpCnt_138"/>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33696"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67" name="AutoShape_1_SpCnt_139"/>
                  <wp:cNvGraphicFramePr/>
                  <a:graphic xmlns:a="http://schemas.openxmlformats.org/drawingml/2006/main">
                    <a:graphicData uri="http://schemas.openxmlformats.org/drawingml/2006/picture">
                      <pic:pic xmlns:pic="http://schemas.openxmlformats.org/drawingml/2006/picture">
                        <pic:nvPicPr>
                          <pic:cNvPr id="167" name="AutoShape_1_SpCnt_13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34720" behindDoc="0" locked="0" layoutInCell="1" allowOverlap="1">
                  <wp:simplePos x="0" y="0"/>
                  <wp:positionH relativeFrom="column">
                    <wp:posOffset>0</wp:posOffset>
                  </wp:positionH>
                  <wp:positionV relativeFrom="paragraph">
                    <wp:posOffset>0</wp:posOffset>
                  </wp:positionV>
                  <wp:extent cx="304800" cy="1038225"/>
                  <wp:effectExtent l="0" t="0" r="0" b="0"/>
                  <wp:wrapNone/>
                  <wp:docPr id="172" name="AutoShape_2_SpCnt_129"/>
                  <wp:cNvGraphicFramePr/>
                  <a:graphic xmlns:a="http://schemas.openxmlformats.org/drawingml/2006/main">
                    <a:graphicData uri="http://schemas.openxmlformats.org/drawingml/2006/picture">
                      <pic:pic xmlns:pic="http://schemas.openxmlformats.org/drawingml/2006/picture">
                        <pic:nvPicPr>
                          <pic:cNvPr id="172" name="AutoShape_2_SpCnt_129"/>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35744"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73" name="AutoShape_1_SpCnt_140"/>
                  <wp:cNvGraphicFramePr/>
                  <a:graphic xmlns:a="http://schemas.openxmlformats.org/drawingml/2006/main">
                    <a:graphicData uri="http://schemas.openxmlformats.org/drawingml/2006/picture">
                      <pic:pic xmlns:pic="http://schemas.openxmlformats.org/drawingml/2006/picture">
                        <pic:nvPicPr>
                          <pic:cNvPr id="273" name="AutoShape_1_SpCnt_140"/>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Fonts w:ascii="Times New Roman" w:hAnsi="Times New Roman" w:eastAsia="方正仿宋_GBK" w:cs="Times New Roman"/>
                <w:color w:val="000000"/>
                <w:kern w:val="0"/>
                <w:sz w:val="24"/>
                <w:bdr w:val="single" w:color="000000" w:sz="4" w:space="0"/>
              </w:rPr>
              <w:drawing>
                <wp:anchor distT="0" distB="0" distL="114300" distR="114300" simplePos="0" relativeHeight="251936768" behindDoc="0" locked="0" layoutInCell="1" allowOverlap="1">
                  <wp:simplePos x="0" y="0"/>
                  <wp:positionH relativeFrom="column">
                    <wp:posOffset>0</wp:posOffset>
                  </wp:positionH>
                  <wp:positionV relativeFrom="paragraph">
                    <wp:posOffset>0</wp:posOffset>
                  </wp:positionV>
                  <wp:extent cx="304800" cy="1038225"/>
                  <wp:effectExtent l="0" t="0" r="0" b="0"/>
                  <wp:wrapNone/>
                  <wp:docPr id="274" name="AutoShape_1_SpCnt_141"/>
                  <wp:cNvGraphicFramePr/>
                  <a:graphic xmlns:a="http://schemas.openxmlformats.org/drawingml/2006/main">
                    <a:graphicData uri="http://schemas.openxmlformats.org/drawingml/2006/picture">
                      <pic:pic xmlns:pic="http://schemas.openxmlformats.org/drawingml/2006/picture">
                        <pic:nvPicPr>
                          <pic:cNvPr id="274" name="AutoShape_1_SpCnt_141"/>
                          <pic:cNvPicPr/>
                        </pic:nvPicPr>
                        <pic:blipFill>
                          <a:blip r:embed="rId7" cstate="print"/>
                          <a:stretch>
                            <a:fillRect/>
                          </a:stretch>
                        </pic:blipFill>
                        <pic:spPr>
                          <a:xfrm>
                            <a:off x="0" y="0"/>
                            <a:ext cx="304800" cy="1038225"/>
                          </a:xfrm>
                          <a:prstGeom prst="rect">
                            <a:avLst/>
                          </a:prstGeom>
                          <a:noFill/>
                          <a:ln>
                            <a:noFill/>
                          </a:ln>
                        </pic:spPr>
                      </pic:pic>
                    </a:graphicData>
                  </a:graphic>
                </wp:anchor>
              </w:drawing>
            </w:r>
            <w:r>
              <w:rPr>
                <w:rStyle w:val="29"/>
                <w:rFonts w:eastAsia="方正仿宋_GBK"/>
                <w:sz w:val="24"/>
                <w:szCs w:val="24"/>
              </w:rPr>
              <w:t>主体结构封顶</w:t>
            </w:r>
          </w:p>
        </w:tc>
      </w:tr>
      <w:tr w14:paraId="3DF91EFB">
        <w:tblPrEx>
          <w:tblCellMar>
            <w:top w:w="0" w:type="dxa"/>
            <w:left w:w="108" w:type="dxa"/>
            <w:bottom w:w="0" w:type="dxa"/>
            <w:right w:w="108" w:type="dxa"/>
          </w:tblCellMar>
        </w:tblPrEx>
        <w:trPr>
          <w:trHeight w:val="4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69A14">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9</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7A28">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金基南部新城国际路以西项目（</w:t>
            </w:r>
            <w:r>
              <w:rPr>
                <w:rStyle w:val="19"/>
                <w:rFonts w:hint="default" w:ascii="Times New Roman" w:hAnsi="Times New Roman" w:eastAsia="方正仿宋_GBK" w:cs="Times New Roman"/>
                <w:b w:val="0"/>
                <w:sz w:val="24"/>
                <w:szCs w:val="24"/>
              </w:rPr>
              <w:t>NO.2022G25</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66E3">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桩基支护施工</w:t>
            </w:r>
          </w:p>
        </w:tc>
      </w:tr>
      <w:tr w14:paraId="4D6217CC">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1558">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D600">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保利文华（</w:t>
            </w:r>
            <w:r>
              <w:rPr>
                <w:rStyle w:val="19"/>
                <w:rFonts w:hint="default" w:ascii="Times New Roman" w:hAnsi="Times New Roman" w:eastAsia="方正仿宋_GBK" w:cs="Times New Roman"/>
                <w:b w:val="0"/>
                <w:sz w:val="24"/>
                <w:szCs w:val="24"/>
              </w:rPr>
              <w:t>NO.2022G26</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A131">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53CE26EA">
        <w:tblPrEx>
          <w:tblCellMar>
            <w:top w:w="0" w:type="dxa"/>
            <w:left w:w="108" w:type="dxa"/>
            <w:bottom w:w="0" w:type="dxa"/>
            <w:right w:w="108" w:type="dxa"/>
          </w:tblCellMar>
        </w:tblPrEx>
        <w:trPr>
          <w:trHeight w:val="40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1A70">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E15AE">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伟星南部新城佳营路以南项目（</w:t>
            </w:r>
            <w:r>
              <w:rPr>
                <w:rStyle w:val="19"/>
                <w:rFonts w:hint="default" w:ascii="Times New Roman" w:hAnsi="Times New Roman" w:eastAsia="方正仿宋_GBK" w:cs="Times New Roman"/>
                <w:b w:val="0"/>
                <w:sz w:val="24"/>
                <w:szCs w:val="24"/>
              </w:rPr>
              <w:t>NO.2022G65</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7A470">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7AFF3F8C">
        <w:tblPrEx>
          <w:tblCellMar>
            <w:top w:w="0" w:type="dxa"/>
            <w:left w:w="108" w:type="dxa"/>
            <w:bottom w:w="0" w:type="dxa"/>
            <w:right w:w="108" w:type="dxa"/>
          </w:tblCellMar>
        </w:tblPrEx>
        <w:trPr>
          <w:trHeight w:val="61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5C4E2">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1D56">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金基光华路街道石杨路以南项（</w:t>
            </w:r>
            <w:r>
              <w:rPr>
                <w:rStyle w:val="19"/>
                <w:rFonts w:hint="default" w:ascii="Times New Roman" w:hAnsi="Times New Roman" w:eastAsia="方正仿宋_GBK" w:cs="Times New Roman"/>
                <w:b w:val="0"/>
                <w:sz w:val="24"/>
                <w:szCs w:val="24"/>
              </w:rPr>
              <w:t>NO.2022G23</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06EB">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住宅部分主体封顶，商办社区中心等开工建设</w:t>
            </w:r>
          </w:p>
        </w:tc>
      </w:tr>
      <w:tr w14:paraId="1A6E95A3">
        <w:tblPrEx>
          <w:tblCellMar>
            <w:top w:w="0" w:type="dxa"/>
            <w:left w:w="108" w:type="dxa"/>
            <w:bottom w:w="0" w:type="dxa"/>
            <w:right w:w="108" w:type="dxa"/>
          </w:tblCellMar>
        </w:tblPrEx>
        <w:trPr>
          <w:trHeight w:val="300" w:hRule="atLeast"/>
          <w:jc w:val="center"/>
        </w:trPr>
        <w:tc>
          <w:tcPr>
            <w:tcW w:w="5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5DE7C0">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（四）社会事业类项目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082F">
            <w:pPr>
              <w:widowControl/>
              <w:spacing w:line="360" w:lineRule="exact"/>
              <w:jc w:val="left"/>
              <w:rPr>
                <w:rFonts w:ascii="Times New Roman" w:hAnsi="Times New Roman" w:eastAsia="方正仿宋_GBK" w:cs="Times New Roman"/>
                <w:color w:val="000000"/>
                <w:sz w:val="24"/>
              </w:rPr>
            </w:pPr>
          </w:p>
        </w:tc>
      </w:tr>
      <w:tr w14:paraId="5A97C8B5">
        <w:tblPrEx>
          <w:tblCellMar>
            <w:top w:w="0" w:type="dxa"/>
            <w:left w:w="108" w:type="dxa"/>
            <w:bottom w:w="0" w:type="dxa"/>
            <w:right w:w="108" w:type="dxa"/>
          </w:tblCellMar>
        </w:tblPrEx>
        <w:trPr>
          <w:trHeight w:val="5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3FB0">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13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395F">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富华路两侧教育配套设施（幼儿园、小学、初中）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67B0">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完成地下工程</w:t>
            </w:r>
          </w:p>
        </w:tc>
      </w:tr>
      <w:tr w14:paraId="5081D520">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D00E">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14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ECF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大明路东侧居住社区中心</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A696">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完成桩基施工，完成首道撑施工；土方外运完成</w:t>
            </w:r>
          </w:p>
        </w:tc>
      </w:tr>
      <w:tr w14:paraId="518647A7">
        <w:tblPrEx>
          <w:tblCellMar>
            <w:top w:w="0" w:type="dxa"/>
            <w:left w:w="108" w:type="dxa"/>
            <w:bottom w:w="0" w:type="dxa"/>
            <w:right w:w="108" w:type="dxa"/>
          </w:tblCellMar>
        </w:tblPrEx>
        <w:trPr>
          <w:trHeight w:val="54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BFD69">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15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68B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国际路社区中心（含公交场站、消防站）</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B5A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完成桩基施工，开展首道撑施工，土方外运</w:t>
            </w:r>
          </w:p>
        </w:tc>
      </w:tr>
      <w:tr w14:paraId="21D1BDAE">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64B2">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16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52F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怡居路北侧幼儿园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DDCBB">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主体封顶；室内装修、外立面工程及室外景观工程完成</w:t>
            </w:r>
            <w:r>
              <w:rPr>
                <w:rStyle w:val="19"/>
                <w:rFonts w:hint="default" w:ascii="Times New Roman" w:hAnsi="Times New Roman" w:eastAsia="方正仿宋_GBK" w:cs="Times New Roman"/>
                <w:b w:val="0"/>
                <w:sz w:val="24"/>
                <w:szCs w:val="24"/>
              </w:rPr>
              <w:t>20%</w:t>
            </w:r>
          </w:p>
        </w:tc>
      </w:tr>
      <w:tr w14:paraId="3C27BE99">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648B2">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17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9FF26">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响水河路南侧幼儿园（原西一路幼儿园）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90D2">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主体结构封顶</w:t>
            </w:r>
          </w:p>
        </w:tc>
      </w:tr>
      <w:tr w14:paraId="5182AB88">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0A57">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18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3653">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油库公园南中小学</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0471E">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完成桩基与支护施工，完成清表，开展支撑梁施工</w:t>
            </w:r>
          </w:p>
        </w:tc>
      </w:tr>
      <w:tr w14:paraId="1AA053A0">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4632">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19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E8568">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煤场地块幼儿园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028B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开工建设</w:t>
            </w:r>
          </w:p>
        </w:tc>
      </w:tr>
      <w:tr w14:paraId="1C7F13F2">
        <w:tblPrEx>
          <w:tblCellMar>
            <w:top w:w="0" w:type="dxa"/>
            <w:left w:w="108" w:type="dxa"/>
            <w:bottom w:w="0" w:type="dxa"/>
            <w:right w:w="108" w:type="dxa"/>
          </w:tblCellMar>
        </w:tblPrEx>
        <w:trPr>
          <w:trHeight w:val="300" w:hRule="atLeast"/>
          <w:jc w:val="center"/>
        </w:trPr>
        <w:tc>
          <w:tcPr>
            <w:tcW w:w="96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F1A7A8">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二、在建项目</w:t>
            </w:r>
          </w:p>
        </w:tc>
      </w:tr>
      <w:tr w14:paraId="72941968">
        <w:tblPrEx>
          <w:tblCellMar>
            <w:top w:w="0" w:type="dxa"/>
            <w:left w:w="108" w:type="dxa"/>
            <w:bottom w:w="0" w:type="dxa"/>
            <w:right w:w="108" w:type="dxa"/>
          </w:tblCellMar>
        </w:tblPrEx>
        <w:trPr>
          <w:trHeight w:val="300" w:hRule="atLeast"/>
          <w:jc w:val="center"/>
        </w:trPr>
        <w:tc>
          <w:tcPr>
            <w:tcW w:w="5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A4FB2">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（一）产业类项目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1EBBDC">
            <w:pPr>
              <w:widowControl/>
              <w:spacing w:line="360" w:lineRule="exact"/>
              <w:jc w:val="center"/>
              <w:rPr>
                <w:rFonts w:ascii="Times New Roman" w:hAnsi="Times New Roman" w:eastAsia="方正仿宋_GBK" w:cs="Times New Roman"/>
                <w:color w:val="000000"/>
                <w:sz w:val="24"/>
              </w:rPr>
            </w:pPr>
          </w:p>
        </w:tc>
      </w:tr>
      <w:tr w14:paraId="3045E63C">
        <w:tblPrEx>
          <w:tblCellMar>
            <w:top w:w="0" w:type="dxa"/>
            <w:left w:w="108" w:type="dxa"/>
            <w:bottom w:w="0" w:type="dxa"/>
            <w:right w:w="108" w:type="dxa"/>
          </w:tblCellMar>
        </w:tblPrEx>
        <w:trPr>
          <w:trHeight w:val="5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BCCF">
            <w:pPr>
              <w:widowControl/>
              <w:spacing w:line="32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E0AE">
            <w:pPr>
              <w:widowControl/>
              <w:spacing w:line="32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中江建筑智慧产业园（原威新科技服务中心NO.2021G74）</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DAAAD">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主体结构施工</w:t>
            </w:r>
          </w:p>
        </w:tc>
      </w:tr>
      <w:tr w14:paraId="1900546E">
        <w:tblPrEx>
          <w:tblCellMar>
            <w:top w:w="0" w:type="dxa"/>
            <w:left w:w="108" w:type="dxa"/>
            <w:bottom w:w="0" w:type="dxa"/>
            <w:right w:w="108" w:type="dxa"/>
          </w:tblCellMar>
        </w:tblPrEx>
        <w:trPr>
          <w:trHeight w:val="6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EBBA3">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67E6">
            <w:pPr>
              <w:widowControl/>
              <w:spacing w:line="32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南部新城国际路以西商办中心（NO.2021G121）</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2C50">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住宅部分主体封顶，开始室内精装修和室外景观工程；商办部分主体结构施工</w:t>
            </w:r>
          </w:p>
        </w:tc>
      </w:tr>
      <w:tr w14:paraId="36976FDD">
        <w:tblPrEx>
          <w:tblCellMar>
            <w:top w:w="0" w:type="dxa"/>
            <w:left w:w="108" w:type="dxa"/>
            <w:bottom w:w="0" w:type="dxa"/>
            <w:right w:w="108" w:type="dxa"/>
          </w:tblCellMar>
        </w:tblPrEx>
        <w:trPr>
          <w:trHeight w:val="5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5DCCA">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22</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D9171">
            <w:pPr>
              <w:widowControl/>
              <w:spacing w:line="32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华夏幸福华东运营总部（NO.2020G12）</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1F62">
            <w:pPr>
              <w:widowControl/>
              <w:spacing w:line="320" w:lineRule="exact"/>
              <w:jc w:val="left"/>
              <w:textAlignment w:val="center"/>
              <w:rPr>
                <w:rFonts w:ascii="Times New Roman" w:hAnsi="Times New Roman" w:eastAsia="方正仿宋_GBK" w:cs="Times New Roman"/>
                <w:color w:val="000000"/>
                <w:sz w:val="24"/>
              </w:rPr>
            </w:pPr>
            <w:r>
              <w:rPr>
                <w:rStyle w:val="19"/>
                <w:rFonts w:hint="default" w:ascii="Times New Roman" w:hAnsi="Times New Roman" w:eastAsia="方正仿宋_GBK" w:cs="Times New Roman"/>
                <w:b w:val="0"/>
                <w:sz w:val="24"/>
                <w:szCs w:val="24"/>
              </w:rPr>
              <w:t>ABC</w:t>
            </w:r>
            <w:r>
              <w:rPr>
                <w:rStyle w:val="29"/>
                <w:rFonts w:eastAsia="方正仿宋_GBK"/>
                <w:sz w:val="24"/>
                <w:szCs w:val="24"/>
              </w:rPr>
              <w:t>地块主体结构封顶、</w:t>
            </w:r>
            <w:r>
              <w:rPr>
                <w:rStyle w:val="19"/>
                <w:rFonts w:hint="default" w:ascii="Times New Roman" w:hAnsi="Times New Roman" w:eastAsia="方正仿宋_GBK" w:cs="Times New Roman"/>
                <w:b w:val="0"/>
                <w:sz w:val="24"/>
                <w:szCs w:val="24"/>
              </w:rPr>
              <w:t>DE</w:t>
            </w:r>
            <w:r>
              <w:rPr>
                <w:rStyle w:val="29"/>
                <w:rFonts w:eastAsia="方正仿宋_GBK"/>
                <w:sz w:val="24"/>
                <w:szCs w:val="24"/>
              </w:rPr>
              <w:t>地块商办主体结构封顶、</w:t>
            </w:r>
            <w:r>
              <w:rPr>
                <w:rStyle w:val="19"/>
                <w:rFonts w:hint="default" w:ascii="Times New Roman" w:hAnsi="Times New Roman" w:eastAsia="方正仿宋_GBK" w:cs="Times New Roman"/>
                <w:b w:val="0"/>
                <w:sz w:val="24"/>
                <w:szCs w:val="24"/>
              </w:rPr>
              <w:t>F</w:t>
            </w:r>
            <w:r>
              <w:rPr>
                <w:rStyle w:val="29"/>
                <w:rFonts w:eastAsia="方正仿宋_GBK"/>
                <w:sz w:val="24"/>
                <w:szCs w:val="24"/>
              </w:rPr>
              <w:t>地块招商中心施工</w:t>
            </w:r>
          </w:p>
        </w:tc>
      </w:tr>
      <w:tr w14:paraId="3E9CF777">
        <w:tblPrEx>
          <w:tblCellMar>
            <w:top w:w="0" w:type="dxa"/>
            <w:left w:w="108" w:type="dxa"/>
            <w:bottom w:w="0" w:type="dxa"/>
            <w:right w:w="108" w:type="dxa"/>
          </w:tblCellMar>
        </w:tblPrEx>
        <w:trPr>
          <w:trHeight w:val="5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701A7">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23</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22B4">
            <w:pPr>
              <w:widowControl/>
              <w:spacing w:line="32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金地商置苏鲁区域总部（NO.2020G13）</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A19E">
            <w:pPr>
              <w:widowControl/>
              <w:spacing w:line="320" w:lineRule="exact"/>
              <w:jc w:val="left"/>
              <w:textAlignment w:val="center"/>
              <w:rPr>
                <w:rFonts w:ascii="Times New Roman" w:hAnsi="Times New Roman" w:eastAsia="方正仿宋_GBK" w:cs="Times New Roman"/>
                <w:color w:val="000000"/>
                <w:sz w:val="24"/>
              </w:rPr>
            </w:pPr>
            <w:r>
              <w:rPr>
                <w:rStyle w:val="19"/>
                <w:rFonts w:hint="default" w:ascii="Times New Roman" w:hAnsi="Times New Roman" w:eastAsia="方正仿宋_GBK" w:cs="Times New Roman"/>
                <w:b w:val="0"/>
                <w:sz w:val="24"/>
                <w:szCs w:val="24"/>
              </w:rPr>
              <w:t>A</w:t>
            </w:r>
            <w:r>
              <w:rPr>
                <w:rStyle w:val="29"/>
                <w:rFonts w:eastAsia="方正仿宋_GBK"/>
                <w:sz w:val="24"/>
                <w:szCs w:val="24"/>
              </w:rPr>
              <w:t>地块竣备完成，一标段住宅交付完成；</w:t>
            </w:r>
            <w:r>
              <w:rPr>
                <w:rStyle w:val="19"/>
                <w:rFonts w:hint="default" w:ascii="Times New Roman" w:hAnsi="Times New Roman" w:eastAsia="方正仿宋_GBK" w:cs="Times New Roman"/>
                <w:b w:val="0"/>
                <w:sz w:val="24"/>
                <w:szCs w:val="24"/>
              </w:rPr>
              <w:t>B</w:t>
            </w:r>
            <w:r>
              <w:rPr>
                <w:rStyle w:val="29"/>
                <w:rFonts w:eastAsia="方正仿宋_GBK"/>
                <w:sz w:val="24"/>
                <w:szCs w:val="24"/>
              </w:rPr>
              <w:t>地块桩基支护土方施工</w:t>
            </w:r>
          </w:p>
        </w:tc>
      </w:tr>
      <w:tr w14:paraId="53F9622D">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5314">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24</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5C08">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南京中芬合作交流中心</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2796">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机电安装，幕墙施工，精装修施工</w:t>
            </w:r>
          </w:p>
        </w:tc>
      </w:tr>
      <w:tr w14:paraId="21260A94">
        <w:trPr>
          <w:trHeight w:val="41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BC916">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25</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F6D27">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白下高新区智能交通产业园（核心B地块）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9672">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地下施工</w:t>
            </w:r>
          </w:p>
        </w:tc>
      </w:tr>
      <w:tr w14:paraId="322CAA61">
        <w:trPr>
          <w:trHeight w:val="38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4E50">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26</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A4C9">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白下高新区数据产业园（核心A地块）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B9B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58221299">
        <w:tblPrEx>
          <w:tblCellMar>
            <w:top w:w="0" w:type="dxa"/>
            <w:left w:w="108" w:type="dxa"/>
            <w:bottom w:w="0" w:type="dxa"/>
            <w:right w:w="108" w:type="dxa"/>
          </w:tblCellMar>
        </w:tblPrEx>
        <w:trPr>
          <w:trHeight w:val="42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9843D">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C0DF8">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人工智能产业大厦（大仙寺北）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EE95B">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0C91AFF4">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136A">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28</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1FAE1">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白下高新新型都市工业园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8541">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地下施工</w:t>
            </w:r>
          </w:p>
        </w:tc>
      </w:tr>
      <w:tr w14:paraId="3B2303CA">
        <w:tblPrEx>
          <w:tblCellMar>
            <w:top w:w="0" w:type="dxa"/>
            <w:left w:w="108" w:type="dxa"/>
            <w:bottom w:w="0" w:type="dxa"/>
            <w:right w:w="108" w:type="dxa"/>
          </w:tblCellMar>
        </w:tblPrEx>
        <w:trPr>
          <w:trHeight w:val="32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05F21">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29</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955C">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江苏无线电厂综合电子产品研发基地</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58C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58F017D8">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B267E">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FEE8">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大明路商办综合体</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88BEE">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7E8D7FAD">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5C5F0">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D3AA1">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至美科技广场</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53F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4A15B4DE">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EDFC">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32</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245E">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秦淮硅巷·中航科技城</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3EB99">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复工</w:t>
            </w:r>
          </w:p>
        </w:tc>
      </w:tr>
      <w:tr w14:paraId="43279172">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1063">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33</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D501">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西五华里休闲文化街区</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A82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桩基施工</w:t>
            </w:r>
          </w:p>
        </w:tc>
      </w:tr>
      <w:tr w14:paraId="62C3908E">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1411">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34</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3054">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双塘园文化休闲街区</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255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保留建筑修缮，实施片区更新</w:t>
            </w:r>
          </w:p>
        </w:tc>
      </w:tr>
      <w:tr w14:paraId="32F4B543">
        <w:tblPrEx>
          <w:tblCellMar>
            <w:top w:w="0" w:type="dxa"/>
            <w:left w:w="108" w:type="dxa"/>
            <w:bottom w:w="0" w:type="dxa"/>
            <w:right w:w="108" w:type="dxa"/>
          </w:tblCellMar>
        </w:tblPrEx>
        <w:trPr>
          <w:trHeight w:val="54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3E24">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35</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3A56F">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英迪格酒店及文旅体验街区（原科举博物馆二期）</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91A0">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地下工程施工</w:t>
            </w:r>
          </w:p>
        </w:tc>
      </w:tr>
      <w:tr w14:paraId="421DD988">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34637">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36</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2D1C">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周处读书台“山水人文苑”</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6FB6">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新建部分主体施工</w:t>
            </w:r>
          </w:p>
        </w:tc>
      </w:tr>
      <w:tr w14:paraId="20CBA8A0">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484F">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F08CD">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门西数字生活街区</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391B">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完成主体结构施工</w:t>
            </w:r>
          </w:p>
        </w:tc>
      </w:tr>
      <w:tr w14:paraId="2E10A851">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F3A2D">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38</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34F38">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越城天地文化旅游街区</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2971">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整体所有地块全面开工</w:t>
            </w:r>
          </w:p>
        </w:tc>
      </w:tr>
      <w:tr w14:paraId="660EFF8F">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B871">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39</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2C5B">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佰汇广场（原泰禾商业广场）</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EDFB">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7182C9E4">
        <w:tblPrEx>
          <w:tblCellMar>
            <w:top w:w="0" w:type="dxa"/>
            <w:left w:w="108" w:type="dxa"/>
            <w:bottom w:w="0" w:type="dxa"/>
            <w:right w:w="108" w:type="dxa"/>
          </w:tblCellMar>
        </w:tblPrEx>
        <w:trPr>
          <w:trHeight w:val="6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7086">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46FA">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金陵中环</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FDFF">
            <w:pPr>
              <w:widowControl/>
              <w:spacing w:line="360" w:lineRule="exact"/>
              <w:jc w:val="left"/>
              <w:textAlignment w:val="center"/>
              <w:rPr>
                <w:rStyle w:val="29"/>
                <w:rFonts w:eastAsia="方正仿宋_GBK"/>
                <w:sz w:val="24"/>
                <w:szCs w:val="24"/>
              </w:rPr>
            </w:pPr>
            <w:r>
              <w:rPr>
                <w:rStyle w:val="19"/>
                <w:rFonts w:hint="default" w:ascii="Times New Roman" w:hAnsi="Times New Roman" w:eastAsia="方正仿宋_GBK" w:cs="Times New Roman"/>
                <w:b w:val="0"/>
                <w:sz w:val="24"/>
                <w:szCs w:val="24"/>
              </w:rPr>
              <w:t>B</w:t>
            </w:r>
            <w:r>
              <w:rPr>
                <w:rStyle w:val="29"/>
                <w:rFonts w:eastAsia="方正仿宋_GBK"/>
                <w:sz w:val="24"/>
                <w:szCs w:val="24"/>
              </w:rPr>
              <w:t>区：商场开业；</w:t>
            </w:r>
          </w:p>
          <w:p w14:paraId="01735B1B">
            <w:pPr>
              <w:widowControl/>
              <w:spacing w:line="360" w:lineRule="exact"/>
              <w:jc w:val="left"/>
              <w:textAlignment w:val="center"/>
              <w:rPr>
                <w:rFonts w:ascii="Times New Roman" w:hAnsi="Times New Roman" w:eastAsia="方正仿宋_GBK" w:cs="Times New Roman"/>
                <w:color w:val="000000"/>
                <w:sz w:val="24"/>
              </w:rPr>
            </w:pPr>
            <w:r>
              <w:rPr>
                <w:rStyle w:val="19"/>
                <w:rFonts w:hint="default" w:ascii="Times New Roman" w:hAnsi="Times New Roman" w:eastAsia="方正仿宋_GBK" w:cs="Times New Roman"/>
                <w:b w:val="0"/>
                <w:sz w:val="24"/>
                <w:szCs w:val="24"/>
              </w:rPr>
              <w:t>T1</w:t>
            </w:r>
            <w:r>
              <w:rPr>
                <w:rStyle w:val="29"/>
                <w:rFonts w:eastAsia="方正仿宋_GBK"/>
                <w:sz w:val="24"/>
                <w:szCs w:val="24"/>
              </w:rPr>
              <w:t>区、</w:t>
            </w:r>
            <w:r>
              <w:rPr>
                <w:rStyle w:val="19"/>
                <w:rFonts w:hint="default" w:ascii="Times New Roman" w:hAnsi="Times New Roman" w:eastAsia="方正仿宋_GBK" w:cs="Times New Roman"/>
                <w:b w:val="0"/>
                <w:sz w:val="24"/>
                <w:szCs w:val="24"/>
              </w:rPr>
              <w:t>T2</w:t>
            </w:r>
            <w:r>
              <w:rPr>
                <w:rStyle w:val="29"/>
                <w:rFonts w:eastAsia="方正仿宋_GBK"/>
                <w:sz w:val="24"/>
                <w:szCs w:val="24"/>
              </w:rPr>
              <w:t>、</w:t>
            </w:r>
            <w:r>
              <w:rPr>
                <w:rStyle w:val="19"/>
                <w:rFonts w:hint="default" w:ascii="Times New Roman" w:hAnsi="Times New Roman" w:eastAsia="方正仿宋_GBK" w:cs="Times New Roman"/>
                <w:b w:val="0"/>
                <w:sz w:val="24"/>
                <w:szCs w:val="24"/>
              </w:rPr>
              <w:t>S1</w:t>
            </w:r>
            <w:r>
              <w:rPr>
                <w:rStyle w:val="29"/>
                <w:rFonts w:eastAsia="方正仿宋_GBK"/>
                <w:sz w:val="24"/>
                <w:szCs w:val="24"/>
              </w:rPr>
              <w:t>区：主体完工</w:t>
            </w:r>
          </w:p>
        </w:tc>
      </w:tr>
      <w:tr w14:paraId="3087A4C2">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8BED4">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1F190">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银城国际医疗健康城</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239B">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主体工程施工</w:t>
            </w:r>
          </w:p>
        </w:tc>
      </w:tr>
      <w:tr w14:paraId="49F96D86">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3278">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42</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09C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奥特佳总部大厦</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724A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主体结构施工</w:t>
            </w:r>
          </w:p>
        </w:tc>
      </w:tr>
      <w:tr w14:paraId="2307CEDC">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FCB9">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43</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BD7A">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校场一路公交综合体</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4580">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63A614C3">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7D6B">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44</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0F5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数字经济创新园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37C4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室外施工</w:t>
            </w:r>
          </w:p>
        </w:tc>
      </w:tr>
      <w:tr w14:paraId="39822BCB">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5932">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45</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162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双龙产业园出新改造工程</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4207">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改造施工基本完成</w:t>
            </w:r>
          </w:p>
        </w:tc>
      </w:tr>
      <w:tr w14:paraId="5CF9DC45">
        <w:tblPrEx>
          <w:tblCellMar>
            <w:top w:w="0" w:type="dxa"/>
            <w:left w:w="108" w:type="dxa"/>
            <w:bottom w:w="0" w:type="dxa"/>
            <w:right w:w="108" w:type="dxa"/>
          </w:tblCellMar>
        </w:tblPrEx>
        <w:trPr>
          <w:trHeight w:val="54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ACF2">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46</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2B38">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大地新型建材科技研发中心（原土城头1号商办楼）</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0206">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地下施工</w:t>
            </w:r>
          </w:p>
        </w:tc>
      </w:tr>
      <w:tr w14:paraId="4A053F7A">
        <w:tblPrEx>
          <w:tblCellMar>
            <w:top w:w="0" w:type="dxa"/>
            <w:left w:w="108" w:type="dxa"/>
            <w:bottom w:w="0" w:type="dxa"/>
            <w:right w:w="108" w:type="dxa"/>
          </w:tblCellMar>
        </w:tblPrEx>
        <w:trPr>
          <w:trHeight w:val="3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05DFF">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1F2A">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南京锋晖复合材料有限公司科研生产基地</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388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7E34E1C3">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8E23D">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48</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D5D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天安数码城二期</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0B82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5668A1BC">
        <w:tblPrEx>
          <w:tblCellMar>
            <w:top w:w="0" w:type="dxa"/>
            <w:left w:w="108" w:type="dxa"/>
            <w:bottom w:w="0" w:type="dxa"/>
            <w:right w:w="108" w:type="dxa"/>
          </w:tblCellMar>
        </w:tblPrEx>
        <w:trPr>
          <w:trHeight w:val="36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0A92">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49</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FF8C">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分布文化总部大厦（普天</w:t>
            </w:r>
            <w:r>
              <w:rPr>
                <w:rStyle w:val="19"/>
                <w:rFonts w:hint="default" w:ascii="Times New Roman" w:hAnsi="Times New Roman" w:eastAsia="方正仿宋_GBK" w:cs="Times New Roman"/>
                <w:b w:val="0"/>
                <w:sz w:val="24"/>
                <w:szCs w:val="24"/>
              </w:rPr>
              <w:t>1</w:t>
            </w:r>
            <w:r>
              <w:rPr>
                <w:rStyle w:val="29"/>
                <w:rFonts w:eastAsia="方正仿宋_GBK"/>
                <w:sz w:val="24"/>
                <w:szCs w:val="24"/>
              </w:rPr>
              <w:t>号</w:t>
            </w:r>
            <w:r>
              <w:rPr>
                <w:rStyle w:val="19"/>
                <w:rFonts w:hint="default" w:ascii="Times New Roman" w:hAnsi="Times New Roman" w:eastAsia="方正仿宋_GBK" w:cs="Times New Roman"/>
                <w:b w:val="0"/>
                <w:sz w:val="24"/>
                <w:szCs w:val="24"/>
              </w:rPr>
              <w:t>C-3</w:t>
            </w:r>
            <w:r>
              <w:rPr>
                <w:rStyle w:val="29"/>
                <w:rFonts w:eastAsia="方正仿宋_GBK"/>
                <w:sz w:val="24"/>
                <w:szCs w:val="24"/>
              </w:rPr>
              <w:t>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9905">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地下施工</w:t>
            </w:r>
          </w:p>
        </w:tc>
      </w:tr>
      <w:tr w14:paraId="6B30BEA7">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C445">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917A">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秦淮硅巷</w:t>
            </w:r>
            <w:r>
              <w:rPr>
                <w:rStyle w:val="19"/>
                <w:rFonts w:hint="default" w:ascii="Times New Roman" w:hAnsi="Times New Roman" w:eastAsia="方正仿宋_GBK" w:cs="Times New Roman"/>
                <w:b w:val="0"/>
                <w:sz w:val="24"/>
                <w:szCs w:val="24"/>
              </w:rPr>
              <w:t>·</w:t>
            </w:r>
            <w:r>
              <w:rPr>
                <w:rStyle w:val="29"/>
                <w:rFonts w:eastAsia="方正仿宋_GBK"/>
                <w:sz w:val="24"/>
                <w:szCs w:val="24"/>
              </w:rPr>
              <w:t>航空发展大楼</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0851">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3BFF3DD5">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A672F">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626C5">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顺德山庄商业商务综合楼</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769B">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79AD4893">
        <w:tblPrEx>
          <w:tblCellMar>
            <w:top w:w="0" w:type="dxa"/>
            <w:left w:w="108" w:type="dxa"/>
            <w:bottom w:w="0" w:type="dxa"/>
            <w:right w:w="108" w:type="dxa"/>
          </w:tblCellMar>
        </w:tblPrEx>
        <w:trPr>
          <w:trHeight w:val="35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4A6F">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52</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B227D">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东部城市商业中心（原</w:t>
            </w:r>
            <w:r>
              <w:rPr>
                <w:rStyle w:val="19"/>
                <w:rFonts w:hint="default" w:ascii="Times New Roman" w:hAnsi="Times New Roman" w:eastAsia="方正仿宋_GBK" w:cs="Times New Roman"/>
                <w:b w:val="0"/>
                <w:sz w:val="24"/>
                <w:szCs w:val="24"/>
              </w:rPr>
              <w:t>LG</w:t>
            </w:r>
            <w:r>
              <w:rPr>
                <w:rStyle w:val="29"/>
                <w:rFonts w:eastAsia="方正仿宋_GBK"/>
                <w:sz w:val="24"/>
                <w:szCs w:val="24"/>
              </w:rPr>
              <w:t>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434B">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完成主体施工</w:t>
            </w:r>
          </w:p>
        </w:tc>
      </w:tr>
      <w:tr w14:paraId="49AEB489">
        <w:tblPrEx>
          <w:tblCellMar>
            <w:top w:w="0" w:type="dxa"/>
            <w:left w:w="108" w:type="dxa"/>
            <w:bottom w:w="0" w:type="dxa"/>
            <w:right w:w="108" w:type="dxa"/>
          </w:tblCellMar>
        </w:tblPrEx>
        <w:trPr>
          <w:trHeight w:val="5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DAE3E">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53</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9D1C">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南捕厅休闲文化街区</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FDC4A">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开展前期手续办理工作；完成</w:t>
            </w:r>
            <w:r>
              <w:rPr>
                <w:rStyle w:val="19"/>
                <w:rFonts w:hint="default" w:ascii="Times New Roman" w:hAnsi="Times New Roman" w:eastAsia="方正仿宋_GBK" w:cs="Times New Roman"/>
                <w:b w:val="0"/>
                <w:sz w:val="24"/>
                <w:szCs w:val="24"/>
              </w:rPr>
              <w:t>2#</w:t>
            </w:r>
            <w:r>
              <w:rPr>
                <w:rStyle w:val="29"/>
                <w:rFonts w:eastAsia="方正仿宋_GBK"/>
                <w:sz w:val="24"/>
                <w:szCs w:val="24"/>
              </w:rPr>
              <w:t>建筑改造、完成新建</w:t>
            </w:r>
            <w:r>
              <w:rPr>
                <w:rStyle w:val="19"/>
                <w:rFonts w:hint="default" w:ascii="Times New Roman" w:hAnsi="Times New Roman" w:eastAsia="方正仿宋_GBK" w:cs="Times New Roman"/>
                <w:b w:val="0"/>
                <w:sz w:val="24"/>
                <w:szCs w:val="24"/>
              </w:rPr>
              <w:t>3#</w:t>
            </w:r>
            <w:r>
              <w:rPr>
                <w:rStyle w:val="29"/>
                <w:rFonts w:eastAsia="方正仿宋_GBK"/>
                <w:sz w:val="24"/>
                <w:szCs w:val="24"/>
              </w:rPr>
              <w:t>、</w:t>
            </w:r>
            <w:r>
              <w:rPr>
                <w:rStyle w:val="19"/>
                <w:rFonts w:hint="default" w:ascii="Times New Roman" w:hAnsi="Times New Roman" w:eastAsia="方正仿宋_GBK" w:cs="Times New Roman"/>
                <w:b w:val="0"/>
                <w:sz w:val="24"/>
                <w:szCs w:val="24"/>
              </w:rPr>
              <w:t>4#</w:t>
            </w:r>
            <w:r>
              <w:rPr>
                <w:rStyle w:val="29"/>
                <w:rFonts w:eastAsia="方正仿宋_GBK"/>
                <w:sz w:val="24"/>
                <w:szCs w:val="24"/>
              </w:rPr>
              <w:t>、</w:t>
            </w:r>
            <w:r>
              <w:rPr>
                <w:rStyle w:val="19"/>
                <w:rFonts w:hint="default" w:ascii="Times New Roman" w:hAnsi="Times New Roman" w:eastAsia="方正仿宋_GBK" w:cs="Times New Roman"/>
                <w:b w:val="0"/>
                <w:sz w:val="24"/>
                <w:szCs w:val="24"/>
              </w:rPr>
              <w:t>5#</w:t>
            </w:r>
            <w:r>
              <w:rPr>
                <w:rStyle w:val="29"/>
                <w:rFonts w:eastAsia="方正仿宋_GBK"/>
                <w:sz w:val="24"/>
                <w:szCs w:val="24"/>
              </w:rPr>
              <w:t>建设工程及室外工程</w:t>
            </w:r>
          </w:p>
        </w:tc>
      </w:tr>
      <w:tr w14:paraId="744473B8">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8A87">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54</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AEB3">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西湖里</w:t>
            </w:r>
            <w:r>
              <w:rPr>
                <w:rStyle w:val="19"/>
                <w:rFonts w:hint="default" w:ascii="Times New Roman" w:hAnsi="Times New Roman" w:eastAsia="方正仿宋_GBK" w:cs="Times New Roman"/>
                <w:b w:val="0"/>
                <w:sz w:val="24"/>
                <w:szCs w:val="24"/>
              </w:rPr>
              <w:t>·</w:t>
            </w:r>
            <w:r>
              <w:rPr>
                <w:rStyle w:val="29"/>
                <w:rFonts w:eastAsia="方正仿宋_GBK"/>
                <w:sz w:val="24"/>
                <w:szCs w:val="24"/>
              </w:rPr>
              <w:t>创艺街坊</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5D296">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保留建筑修缮，实施片区更新</w:t>
            </w:r>
          </w:p>
        </w:tc>
      </w:tr>
      <w:tr w14:paraId="58E25C93">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EB8E">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55</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BFE9C">
            <w:pPr>
              <w:widowControl/>
              <w:spacing w:line="32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首建中心</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74E4">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完成地下室施工</w:t>
            </w:r>
          </w:p>
        </w:tc>
      </w:tr>
      <w:tr w14:paraId="52D29826">
        <w:tblPrEx>
          <w:tblCellMar>
            <w:top w:w="0" w:type="dxa"/>
            <w:left w:w="108" w:type="dxa"/>
            <w:bottom w:w="0" w:type="dxa"/>
            <w:right w:w="108" w:type="dxa"/>
          </w:tblCellMar>
        </w:tblPrEx>
        <w:trPr>
          <w:trHeight w:val="300" w:hRule="atLeast"/>
          <w:jc w:val="center"/>
        </w:trPr>
        <w:tc>
          <w:tcPr>
            <w:tcW w:w="5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483D7">
            <w:pPr>
              <w:widowControl/>
              <w:spacing w:line="32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（二）楼宇改造类项目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00F8">
            <w:pPr>
              <w:widowControl/>
              <w:spacing w:line="320" w:lineRule="exact"/>
              <w:jc w:val="left"/>
              <w:rPr>
                <w:rFonts w:ascii="Times New Roman" w:hAnsi="Times New Roman" w:eastAsia="方正仿宋_GBK" w:cs="Times New Roman"/>
                <w:color w:val="000000"/>
                <w:sz w:val="24"/>
              </w:rPr>
            </w:pPr>
          </w:p>
        </w:tc>
      </w:tr>
      <w:tr w14:paraId="11EB5723">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35AE">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56</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828BB">
            <w:pPr>
              <w:widowControl/>
              <w:spacing w:line="32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金城精益医疗科技健康产业园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83BB9">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5415872C">
        <w:tblPrEx>
          <w:tblCellMar>
            <w:top w:w="0" w:type="dxa"/>
            <w:left w:w="108" w:type="dxa"/>
            <w:bottom w:w="0" w:type="dxa"/>
            <w:right w:w="108" w:type="dxa"/>
          </w:tblCellMar>
        </w:tblPrEx>
        <w:trPr>
          <w:trHeight w:val="41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5EA3">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3DA4">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秦淮硅巷南工大无为数字文化产业园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F4611">
            <w:pPr>
              <w:widowControl/>
              <w:spacing w:line="32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09CDF996">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2B0B">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58</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182C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文和友项目（一期）</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A187">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6DCEC79D">
        <w:tblPrEx>
          <w:tblCellMar>
            <w:top w:w="0" w:type="dxa"/>
            <w:left w:w="108" w:type="dxa"/>
            <w:bottom w:w="0" w:type="dxa"/>
            <w:right w:w="108" w:type="dxa"/>
          </w:tblCellMar>
        </w:tblPrEx>
        <w:trPr>
          <w:trHeight w:val="4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BD77E">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59</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26C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童寯住宅建筑修缮及童寯纪念馆建设工程</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8B5D">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57659F0D">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5993">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031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南京新百裙楼</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3C26">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一期完工</w:t>
            </w:r>
          </w:p>
        </w:tc>
      </w:tr>
      <w:tr w14:paraId="6298423D">
        <w:tblPrEx>
          <w:tblCellMar>
            <w:top w:w="0" w:type="dxa"/>
            <w:left w:w="108" w:type="dxa"/>
            <w:bottom w:w="0" w:type="dxa"/>
            <w:right w:w="108" w:type="dxa"/>
          </w:tblCellMar>
        </w:tblPrEx>
        <w:trPr>
          <w:trHeight w:val="300" w:hRule="atLeast"/>
          <w:jc w:val="center"/>
        </w:trPr>
        <w:tc>
          <w:tcPr>
            <w:tcW w:w="5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8B746">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（三）房地产类项目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300A">
            <w:pPr>
              <w:widowControl/>
              <w:spacing w:line="360" w:lineRule="exact"/>
              <w:jc w:val="left"/>
              <w:rPr>
                <w:rFonts w:ascii="Times New Roman" w:hAnsi="Times New Roman" w:eastAsia="方正仿宋_GBK" w:cs="Times New Roman"/>
                <w:color w:val="000000"/>
                <w:sz w:val="24"/>
              </w:rPr>
            </w:pPr>
          </w:p>
        </w:tc>
      </w:tr>
      <w:tr w14:paraId="1E7EA21D">
        <w:tblPrEx>
          <w:tblCellMar>
            <w:top w:w="0" w:type="dxa"/>
            <w:left w:w="108" w:type="dxa"/>
            <w:bottom w:w="0" w:type="dxa"/>
            <w:right w:w="108" w:type="dxa"/>
          </w:tblCellMar>
        </w:tblPrEx>
        <w:trPr>
          <w:trHeight w:val="69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5AA61">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E291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三金睿境（原夹岗四路以东、不动产档案馆以南地块</w:t>
            </w:r>
            <w:r>
              <w:rPr>
                <w:rStyle w:val="19"/>
                <w:rFonts w:hint="default" w:ascii="Times New Roman" w:hAnsi="Times New Roman" w:eastAsia="方正仿宋_GBK" w:cs="Times New Roman"/>
                <w:b w:val="0"/>
                <w:sz w:val="24"/>
                <w:szCs w:val="24"/>
              </w:rPr>
              <w:t>NO.2022G02</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6A5F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主体结构施工</w:t>
            </w:r>
          </w:p>
        </w:tc>
      </w:tr>
      <w:tr w14:paraId="2CCC375D">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1C7B">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62</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5005B">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翡丽铂湾（</w:t>
            </w:r>
            <w:r>
              <w:rPr>
                <w:rStyle w:val="19"/>
                <w:rFonts w:hint="default" w:ascii="Times New Roman" w:hAnsi="Times New Roman" w:eastAsia="方正仿宋_GBK" w:cs="Times New Roman"/>
                <w:b w:val="0"/>
                <w:sz w:val="24"/>
                <w:szCs w:val="24"/>
              </w:rPr>
              <w:t>NO.2021G27</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9DAF">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主体结构施工</w:t>
            </w:r>
          </w:p>
        </w:tc>
      </w:tr>
      <w:tr w14:paraId="396D7AF6">
        <w:trPr>
          <w:trHeight w:val="39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36C4">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63</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CBC0">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华润南部新城项目（</w:t>
            </w:r>
            <w:r>
              <w:rPr>
                <w:rStyle w:val="19"/>
                <w:rFonts w:hint="default" w:ascii="Times New Roman" w:hAnsi="Times New Roman" w:eastAsia="方正仿宋_GBK" w:cs="Times New Roman"/>
                <w:b w:val="0"/>
                <w:sz w:val="24"/>
                <w:szCs w:val="24"/>
              </w:rPr>
              <w:t>NO.2021G73</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8647">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主体结构施工</w:t>
            </w:r>
          </w:p>
        </w:tc>
      </w:tr>
      <w:tr w14:paraId="65ADECE8">
        <w:tblPrEx>
          <w:tblCellMar>
            <w:top w:w="0" w:type="dxa"/>
            <w:left w:w="108" w:type="dxa"/>
            <w:bottom w:w="0" w:type="dxa"/>
            <w:right w:w="108" w:type="dxa"/>
          </w:tblCellMar>
        </w:tblPrEx>
        <w:trPr>
          <w:trHeight w:val="74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9FE11">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64</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FC5C0">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凤栖潮府（原国东路以东、嘉园路以北地块</w:t>
            </w:r>
            <w:r>
              <w:rPr>
                <w:rStyle w:val="19"/>
                <w:rFonts w:hint="default" w:ascii="Times New Roman" w:hAnsi="Times New Roman" w:eastAsia="方正仿宋_GBK" w:cs="Times New Roman"/>
                <w:b w:val="0"/>
                <w:sz w:val="24"/>
                <w:szCs w:val="24"/>
              </w:rPr>
              <w:t>NO.2021G124</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1D924">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主体结构施工</w:t>
            </w:r>
          </w:p>
        </w:tc>
      </w:tr>
      <w:tr w14:paraId="6CCC83F3">
        <w:tblPrEx>
          <w:tblCellMar>
            <w:top w:w="0" w:type="dxa"/>
            <w:left w:w="108" w:type="dxa"/>
            <w:bottom w:w="0" w:type="dxa"/>
            <w:right w:w="108" w:type="dxa"/>
          </w:tblCellMar>
        </w:tblPrEx>
        <w:trPr>
          <w:trHeight w:val="75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8F120">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65</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139C2">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璞悦隽园（原嘉园路以北、冶修二路以西地块</w:t>
            </w:r>
            <w:r>
              <w:rPr>
                <w:rStyle w:val="19"/>
                <w:rFonts w:hint="default" w:ascii="Times New Roman" w:hAnsi="Times New Roman" w:eastAsia="方正仿宋_GBK" w:cs="Times New Roman"/>
                <w:b w:val="0"/>
                <w:sz w:val="24"/>
                <w:szCs w:val="24"/>
              </w:rPr>
              <w:t>N0.2021G125</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93F9">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主体结构施工</w:t>
            </w:r>
          </w:p>
        </w:tc>
      </w:tr>
      <w:tr w14:paraId="7102C6A2">
        <w:tblPrEx>
          <w:tblCellMar>
            <w:top w:w="0" w:type="dxa"/>
            <w:left w:w="108" w:type="dxa"/>
            <w:bottom w:w="0" w:type="dxa"/>
            <w:right w:w="108" w:type="dxa"/>
          </w:tblCellMar>
        </w:tblPrEx>
        <w:trPr>
          <w:trHeight w:val="39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B300">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66</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CF2BC">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璞悦和园（原大明路东侧</w:t>
            </w:r>
            <w:r>
              <w:rPr>
                <w:rStyle w:val="19"/>
                <w:rFonts w:hint="default" w:ascii="Times New Roman" w:hAnsi="Times New Roman" w:eastAsia="方正仿宋_GBK" w:cs="Times New Roman"/>
                <w:b w:val="0"/>
                <w:sz w:val="24"/>
                <w:szCs w:val="24"/>
              </w:rPr>
              <w:t>NO.2019G76</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D3F0">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40FAEE3D">
        <w:tblPrEx>
          <w:tblCellMar>
            <w:top w:w="0" w:type="dxa"/>
            <w:left w:w="108" w:type="dxa"/>
            <w:bottom w:w="0" w:type="dxa"/>
            <w:right w:w="108" w:type="dxa"/>
          </w:tblCellMar>
        </w:tblPrEx>
        <w:trPr>
          <w:trHeight w:val="42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1C3A">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F10A">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望樾府（怡居东路以北</w:t>
            </w:r>
            <w:r>
              <w:rPr>
                <w:rStyle w:val="19"/>
                <w:rFonts w:hint="default" w:ascii="Times New Roman" w:hAnsi="Times New Roman" w:eastAsia="方正仿宋_GBK" w:cs="Times New Roman"/>
                <w:b w:val="0"/>
                <w:sz w:val="24"/>
                <w:szCs w:val="24"/>
              </w:rPr>
              <w:t>NO.2019G107</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793C5">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11E8C1F5">
        <w:tblPrEx>
          <w:tblCellMar>
            <w:top w:w="0" w:type="dxa"/>
            <w:left w:w="108" w:type="dxa"/>
            <w:bottom w:w="0" w:type="dxa"/>
            <w:right w:w="108" w:type="dxa"/>
          </w:tblCellMar>
        </w:tblPrEx>
        <w:trPr>
          <w:trHeight w:val="36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19EA">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68</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E5A9">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锦云台（原天华路以东</w:t>
            </w:r>
            <w:r>
              <w:rPr>
                <w:rStyle w:val="19"/>
                <w:rFonts w:hint="default" w:ascii="Times New Roman" w:hAnsi="Times New Roman" w:eastAsia="方正仿宋_GBK" w:cs="Times New Roman"/>
                <w:b w:val="0"/>
                <w:sz w:val="24"/>
                <w:szCs w:val="24"/>
              </w:rPr>
              <w:t>NO.2021G28</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75EB0">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651E1B7C">
        <w:tblPrEx>
          <w:tblCellMar>
            <w:top w:w="0" w:type="dxa"/>
            <w:left w:w="108" w:type="dxa"/>
            <w:bottom w:w="0" w:type="dxa"/>
            <w:right w:w="108" w:type="dxa"/>
          </w:tblCellMar>
        </w:tblPrEx>
        <w:trPr>
          <w:trHeight w:val="96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E7FE">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69</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49A8">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明阅府（原九龙新寓以东</w:t>
            </w:r>
            <w:r>
              <w:rPr>
                <w:rStyle w:val="19"/>
                <w:rFonts w:hint="default" w:ascii="Times New Roman" w:hAnsi="Times New Roman" w:eastAsia="方正仿宋_GBK" w:cs="Times New Roman"/>
                <w:b w:val="0"/>
                <w:sz w:val="24"/>
                <w:szCs w:val="24"/>
              </w:rPr>
              <w:t>NO.2019G64</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AF88">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一期装修施工，室外园林绿化、道路、管网施工，二期商业完成主体施工</w:t>
            </w:r>
          </w:p>
        </w:tc>
      </w:tr>
      <w:tr w14:paraId="4AAF6A5B">
        <w:tblPrEx>
          <w:tblCellMar>
            <w:top w:w="0" w:type="dxa"/>
            <w:left w:w="108" w:type="dxa"/>
            <w:bottom w:w="0" w:type="dxa"/>
            <w:right w:w="108" w:type="dxa"/>
          </w:tblCellMar>
        </w:tblPrEx>
        <w:trPr>
          <w:trHeight w:val="43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C8E1">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F9C2">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云萃府（</w:t>
            </w:r>
            <w:r>
              <w:rPr>
                <w:rStyle w:val="19"/>
                <w:rFonts w:hint="default" w:ascii="Times New Roman" w:hAnsi="Times New Roman" w:eastAsia="方正仿宋_GBK" w:cs="Times New Roman"/>
                <w:b w:val="0"/>
                <w:sz w:val="24"/>
                <w:szCs w:val="24"/>
              </w:rPr>
              <w:t>NO.2021G30</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100D0">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主体结构封顶</w:t>
            </w:r>
          </w:p>
        </w:tc>
      </w:tr>
      <w:tr w14:paraId="154563FE">
        <w:tblPrEx>
          <w:tblCellMar>
            <w:top w:w="0" w:type="dxa"/>
            <w:left w:w="108" w:type="dxa"/>
            <w:bottom w:w="0" w:type="dxa"/>
            <w:right w:w="108" w:type="dxa"/>
          </w:tblCellMar>
        </w:tblPrEx>
        <w:trPr>
          <w:trHeight w:val="38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57109">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5DCAC">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云锦四季府（</w:t>
            </w:r>
            <w:r>
              <w:rPr>
                <w:rStyle w:val="19"/>
                <w:rFonts w:hint="default" w:ascii="Times New Roman" w:hAnsi="Times New Roman" w:eastAsia="方正仿宋_GBK" w:cs="Times New Roman"/>
                <w:b w:val="0"/>
                <w:sz w:val="24"/>
                <w:szCs w:val="24"/>
              </w:rPr>
              <w:t>NO.2021G31</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708A">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二次结构施工</w:t>
            </w:r>
          </w:p>
        </w:tc>
      </w:tr>
      <w:tr w14:paraId="3F80428C">
        <w:tblPrEx>
          <w:tblCellMar>
            <w:top w:w="0" w:type="dxa"/>
            <w:left w:w="108" w:type="dxa"/>
            <w:bottom w:w="0" w:type="dxa"/>
            <w:right w:w="108" w:type="dxa"/>
          </w:tblCellMar>
        </w:tblPrEx>
        <w:trPr>
          <w:trHeight w:val="41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332F4">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72</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414E">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南宸紫阙（</w:t>
            </w:r>
            <w:r>
              <w:rPr>
                <w:rStyle w:val="19"/>
                <w:rFonts w:hint="default" w:ascii="Times New Roman" w:hAnsi="Times New Roman" w:eastAsia="方正仿宋_GBK" w:cs="Times New Roman"/>
                <w:b w:val="0"/>
                <w:sz w:val="24"/>
                <w:szCs w:val="24"/>
              </w:rPr>
              <w:t>NO.2021G32</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832BB">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主体结构施工</w:t>
            </w:r>
          </w:p>
        </w:tc>
      </w:tr>
      <w:tr w14:paraId="3D070FDF">
        <w:tblPrEx>
          <w:tblCellMar>
            <w:top w:w="0" w:type="dxa"/>
            <w:left w:w="108" w:type="dxa"/>
            <w:bottom w:w="0" w:type="dxa"/>
            <w:right w:w="108" w:type="dxa"/>
          </w:tblCellMar>
        </w:tblPrEx>
        <w:trPr>
          <w:trHeight w:val="75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76DC">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73</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EA4E">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琥珀云台（原机场二路和夹岗二路西南象限居住地块</w:t>
            </w:r>
            <w:r>
              <w:rPr>
                <w:rStyle w:val="19"/>
                <w:rFonts w:hint="default" w:ascii="Times New Roman" w:hAnsi="Times New Roman" w:eastAsia="方正仿宋_GBK" w:cs="Times New Roman"/>
                <w:b w:val="0"/>
                <w:sz w:val="24"/>
                <w:szCs w:val="24"/>
              </w:rPr>
              <w:t>NO.2022G01</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A5479">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主体施工</w:t>
            </w:r>
          </w:p>
        </w:tc>
      </w:tr>
      <w:tr w14:paraId="37BB4890">
        <w:tblPrEx>
          <w:tblCellMar>
            <w:top w:w="0" w:type="dxa"/>
            <w:left w:w="108" w:type="dxa"/>
            <w:bottom w:w="0" w:type="dxa"/>
            <w:right w:w="108" w:type="dxa"/>
          </w:tblCellMar>
        </w:tblPrEx>
        <w:trPr>
          <w:trHeight w:val="44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8B5D">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74</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B00E">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云澜尚府（原应天东街北侧地块</w:t>
            </w:r>
            <w:r>
              <w:rPr>
                <w:rStyle w:val="19"/>
                <w:rFonts w:hint="default" w:ascii="Times New Roman" w:hAnsi="Times New Roman" w:eastAsia="方正仿宋_GBK" w:cs="Times New Roman"/>
                <w:b w:val="0"/>
                <w:sz w:val="24"/>
                <w:szCs w:val="24"/>
              </w:rPr>
              <w:t>NO.2019G32</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C66F">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5D50FB85">
        <w:tblPrEx>
          <w:tblCellMar>
            <w:top w:w="0" w:type="dxa"/>
            <w:left w:w="108" w:type="dxa"/>
            <w:bottom w:w="0" w:type="dxa"/>
            <w:right w:w="108" w:type="dxa"/>
          </w:tblCellMar>
        </w:tblPrEx>
        <w:trPr>
          <w:trHeight w:val="42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E3E9">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75</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B471">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煤场住宅地块（</w:t>
            </w:r>
            <w:r>
              <w:rPr>
                <w:rStyle w:val="19"/>
                <w:rFonts w:hint="default" w:ascii="Times New Roman" w:hAnsi="Times New Roman" w:eastAsia="方正仿宋_GBK" w:cs="Times New Roman"/>
                <w:b w:val="0"/>
                <w:sz w:val="24"/>
                <w:szCs w:val="24"/>
              </w:rPr>
              <w:t xml:space="preserve">NO.2021G122 </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2A03">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主体封顶</w:t>
            </w:r>
          </w:p>
        </w:tc>
      </w:tr>
      <w:tr w14:paraId="43B377CA">
        <w:tblPrEx>
          <w:tblCellMar>
            <w:top w:w="0" w:type="dxa"/>
            <w:left w:w="108" w:type="dxa"/>
            <w:bottom w:w="0" w:type="dxa"/>
            <w:right w:w="108" w:type="dxa"/>
          </w:tblCellMar>
        </w:tblPrEx>
        <w:trPr>
          <w:trHeight w:val="5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855D">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76</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8758">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南京云上（原地铁小天堂地块）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2625">
            <w:pPr>
              <w:widowControl/>
              <w:spacing w:line="350" w:lineRule="exact"/>
              <w:jc w:val="left"/>
              <w:textAlignment w:val="center"/>
              <w:rPr>
                <w:rFonts w:ascii="Times New Roman" w:hAnsi="Times New Roman" w:eastAsia="方正仿宋_GBK" w:cs="Times New Roman"/>
                <w:color w:val="000000"/>
                <w:sz w:val="24"/>
              </w:rPr>
            </w:pPr>
            <w:r>
              <w:rPr>
                <w:rStyle w:val="19"/>
                <w:rFonts w:hint="default" w:ascii="Times New Roman" w:hAnsi="Times New Roman" w:eastAsia="方正仿宋_GBK" w:cs="Times New Roman"/>
                <w:b w:val="0"/>
                <w:sz w:val="24"/>
                <w:szCs w:val="24"/>
              </w:rPr>
              <w:t>A</w:t>
            </w:r>
            <w:r>
              <w:rPr>
                <w:rStyle w:val="29"/>
                <w:rFonts w:eastAsia="方正仿宋_GBK"/>
                <w:sz w:val="24"/>
                <w:szCs w:val="24"/>
              </w:rPr>
              <w:t>地块外立面完成，装修工程完成</w:t>
            </w:r>
            <w:r>
              <w:rPr>
                <w:rStyle w:val="19"/>
                <w:rFonts w:hint="default" w:ascii="Times New Roman" w:hAnsi="Times New Roman" w:eastAsia="方正仿宋_GBK" w:cs="Times New Roman"/>
                <w:b w:val="0"/>
                <w:sz w:val="24"/>
                <w:szCs w:val="24"/>
              </w:rPr>
              <w:t>70%</w:t>
            </w:r>
            <w:r>
              <w:rPr>
                <w:rStyle w:val="29"/>
                <w:rFonts w:eastAsia="方正仿宋_GBK"/>
                <w:sz w:val="24"/>
                <w:szCs w:val="24"/>
              </w:rPr>
              <w:t>；</w:t>
            </w:r>
            <w:r>
              <w:rPr>
                <w:rStyle w:val="19"/>
                <w:rFonts w:hint="default" w:ascii="Times New Roman" w:hAnsi="Times New Roman" w:eastAsia="方正仿宋_GBK" w:cs="Times New Roman"/>
                <w:b w:val="0"/>
                <w:sz w:val="24"/>
                <w:szCs w:val="24"/>
              </w:rPr>
              <w:t>B</w:t>
            </w:r>
            <w:r>
              <w:rPr>
                <w:rStyle w:val="29"/>
                <w:rFonts w:eastAsia="方正仿宋_GBK"/>
                <w:sz w:val="24"/>
                <w:szCs w:val="24"/>
              </w:rPr>
              <w:t>地块外立面外场</w:t>
            </w:r>
            <w:r>
              <w:rPr>
                <w:rStyle w:val="19"/>
                <w:rFonts w:hint="default" w:ascii="Times New Roman" w:hAnsi="Times New Roman" w:eastAsia="方正仿宋_GBK" w:cs="Times New Roman"/>
                <w:b w:val="0"/>
                <w:sz w:val="24"/>
                <w:szCs w:val="24"/>
              </w:rPr>
              <w:t>20%,</w:t>
            </w:r>
            <w:r>
              <w:rPr>
                <w:rStyle w:val="29"/>
                <w:rFonts w:eastAsia="方正仿宋_GBK"/>
                <w:sz w:val="24"/>
                <w:szCs w:val="24"/>
              </w:rPr>
              <w:t>装修进场施工</w:t>
            </w:r>
          </w:p>
        </w:tc>
      </w:tr>
      <w:tr w14:paraId="011A541E">
        <w:tblPrEx>
          <w:tblCellMar>
            <w:top w:w="0" w:type="dxa"/>
            <w:left w:w="108" w:type="dxa"/>
            <w:bottom w:w="0" w:type="dxa"/>
            <w:right w:w="108" w:type="dxa"/>
          </w:tblCellMar>
        </w:tblPrEx>
        <w:trPr>
          <w:trHeight w:val="44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673A">
            <w:pPr>
              <w:widowControl/>
              <w:spacing w:line="35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A879">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玖樾印象（</w:t>
            </w:r>
            <w:r>
              <w:rPr>
                <w:rStyle w:val="19"/>
                <w:rFonts w:hint="default" w:ascii="Times New Roman" w:hAnsi="Times New Roman" w:eastAsia="方正仿宋_GBK" w:cs="Times New Roman"/>
                <w:b w:val="0"/>
                <w:sz w:val="24"/>
                <w:szCs w:val="24"/>
              </w:rPr>
              <w:t>NO.2021G29</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7BDC">
            <w:pPr>
              <w:widowControl/>
              <w:spacing w:line="35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6472DFA3">
        <w:tblPrEx>
          <w:tblCellMar>
            <w:top w:w="0" w:type="dxa"/>
            <w:left w:w="108" w:type="dxa"/>
            <w:bottom w:w="0" w:type="dxa"/>
            <w:right w:w="108" w:type="dxa"/>
          </w:tblCellMar>
        </w:tblPrEx>
        <w:trPr>
          <w:trHeight w:val="63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BAC24">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78</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CE4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范家塘商住（</w:t>
            </w:r>
            <w:r>
              <w:rPr>
                <w:rStyle w:val="19"/>
                <w:rFonts w:hint="default" w:ascii="Times New Roman" w:hAnsi="Times New Roman" w:eastAsia="方正仿宋_GBK" w:cs="Times New Roman"/>
                <w:b w:val="0"/>
                <w:sz w:val="24"/>
                <w:szCs w:val="24"/>
              </w:rPr>
              <w:t>NO.2019G17</w:t>
            </w:r>
            <w:r>
              <w:rPr>
                <w:rStyle w:val="29"/>
                <w:rFonts w:eastAsia="方正仿宋_GBK"/>
                <w:sz w:val="24"/>
                <w:szCs w:val="24"/>
              </w:rPr>
              <w:t>）</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C669">
            <w:pPr>
              <w:widowControl/>
              <w:spacing w:line="360" w:lineRule="exact"/>
              <w:jc w:val="left"/>
              <w:textAlignment w:val="center"/>
              <w:rPr>
                <w:rFonts w:ascii="Times New Roman" w:hAnsi="Times New Roman" w:eastAsia="方正仿宋_GBK" w:cs="Times New Roman"/>
                <w:color w:val="000000"/>
                <w:sz w:val="24"/>
              </w:rPr>
            </w:pPr>
            <w:r>
              <w:rPr>
                <w:rStyle w:val="19"/>
                <w:rFonts w:hint="default" w:ascii="Times New Roman" w:hAnsi="Times New Roman" w:eastAsia="方正仿宋_GBK" w:cs="Times New Roman"/>
                <w:b w:val="0"/>
                <w:sz w:val="24"/>
                <w:szCs w:val="24"/>
              </w:rPr>
              <w:t>3-10#</w:t>
            </w:r>
            <w:r>
              <w:rPr>
                <w:rStyle w:val="29"/>
                <w:rFonts w:eastAsia="方正仿宋_GBK"/>
                <w:sz w:val="24"/>
                <w:szCs w:val="24"/>
              </w:rPr>
              <w:t>楼建设至二层，</w:t>
            </w:r>
            <w:r>
              <w:rPr>
                <w:rStyle w:val="19"/>
                <w:rFonts w:hint="default" w:ascii="Times New Roman" w:hAnsi="Times New Roman" w:eastAsia="方正仿宋_GBK" w:cs="Times New Roman"/>
                <w:b w:val="0"/>
                <w:sz w:val="24"/>
                <w:szCs w:val="24"/>
              </w:rPr>
              <w:t>1#2#</w:t>
            </w:r>
            <w:r>
              <w:rPr>
                <w:rStyle w:val="29"/>
                <w:rFonts w:eastAsia="方正仿宋_GBK"/>
                <w:sz w:val="24"/>
                <w:szCs w:val="24"/>
              </w:rPr>
              <w:t>楼土方开挖</w:t>
            </w:r>
          </w:p>
        </w:tc>
      </w:tr>
      <w:tr w14:paraId="37E2C206">
        <w:tblPrEx>
          <w:tblCellMar>
            <w:top w:w="0" w:type="dxa"/>
            <w:left w:w="108" w:type="dxa"/>
            <w:bottom w:w="0" w:type="dxa"/>
            <w:right w:w="108" w:type="dxa"/>
          </w:tblCellMar>
        </w:tblPrEx>
        <w:trPr>
          <w:trHeight w:val="300" w:hRule="atLeast"/>
          <w:jc w:val="center"/>
        </w:trPr>
        <w:tc>
          <w:tcPr>
            <w:tcW w:w="5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E295E">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（四）社会事业类项目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39EA">
            <w:pPr>
              <w:widowControl/>
              <w:spacing w:line="360" w:lineRule="exact"/>
              <w:jc w:val="left"/>
              <w:rPr>
                <w:rFonts w:ascii="Times New Roman" w:hAnsi="Times New Roman" w:eastAsia="方正仿宋_GBK" w:cs="Times New Roman"/>
                <w:color w:val="000000"/>
                <w:sz w:val="24"/>
              </w:rPr>
            </w:pPr>
          </w:p>
        </w:tc>
      </w:tr>
      <w:tr w14:paraId="48FB8CE1">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0A7FF">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79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2B1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南部新城全民健身中心</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8C2D">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58453C5F">
        <w:tblPrEx>
          <w:tblCellMar>
            <w:top w:w="0" w:type="dxa"/>
            <w:left w:w="108" w:type="dxa"/>
            <w:bottom w:w="0" w:type="dxa"/>
            <w:right w:w="108" w:type="dxa"/>
          </w:tblCellMar>
        </w:tblPrEx>
        <w:trPr>
          <w:trHeight w:val="81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E5A33">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80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74E9D">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机场三路居住社区中心（划拨）（含合并的一处基层社区中心）</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7CD79">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完成土方外运，</w:t>
            </w:r>
            <w:r>
              <w:rPr>
                <w:rStyle w:val="19"/>
                <w:rFonts w:hint="default" w:ascii="Times New Roman" w:hAnsi="Times New Roman" w:eastAsia="方正仿宋_GBK" w:cs="Times New Roman"/>
                <w:b w:val="0"/>
                <w:sz w:val="24"/>
                <w:szCs w:val="24"/>
              </w:rPr>
              <w:t>C</w:t>
            </w:r>
            <w:r>
              <w:rPr>
                <w:rStyle w:val="29"/>
                <w:rFonts w:eastAsia="方正仿宋_GBK"/>
                <w:sz w:val="24"/>
                <w:szCs w:val="24"/>
              </w:rPr>
              <w:t>地块完成地下室结构施工，</w:t>
            </w:r>
            <w:r>
              <w:rPr>
                <w:rStyle w:val="19"/>
                <w:rFonts w:hint="default" w:ascii="Times New Roman" w:hAnsi="Times New Roman" w:eastAsia="方正仿宋_GBK" w:cs="Times New Roman"/>
                <w:b w:val="0"/>
                <w:sz w:val="24"/>
                <w:szCs w:val="24"/>
              </w:rPr>
              <w:t>B</w:t>
            </w:r>
            <w:r>
              <w:rPr>
                <w:rStyle w:val="29"/>
                <w:rFonts w:eastAsia="方正仿宋_GBK"/>
                <w:sz w:val="24"/>
                <w:szCs w:val="24"/>
              </w:rPr>
              <w:t>地块地下室结构施工完成</w:t>
            </w:r>
            <w:r>
              <w:rPr>
                <w:rStyle w:val="19"/>
                <w:rFonts w:hint="default" w:ascii="Times New Roman" w:hAnsi="Times New Roman" w:eastAsia="方正仿宋_GBK" w:cs="Times New Roman"/>
                <w:b w:val="0"/>
                <w:sz w:val="24"/>
                <w:szCs w:val="24"/>
              </w:rPr>
              <w:t>80%</w:t>
            </w:r>
            <w:r>
              <w:rPr>
                <w:rStyle w:val="29"/>
                <w:rFonts w:eastAsia="方正仿宋_GBK"/>
                <w:sz w:val="24"/>
                <w:szCs w:val="24"/>
              </w:rPr>
              <w:t>，</w:t>
            </w:r>
            <w:r>
              <w:rPr>
                <w:rStyle w:val="19"/>
                <w:rFonts w:hint="default" w:ascii="Times New Roman" w:hAnsi="Times New Roman" w:eastAsia="方正仿宋_GBK" w:cs="Times New Roman"/>
                <w:b w:val="0"/>
                <w:sz w:val="24"/>
                <w:szCs w:val="24"/>
              </w:rPr>
              <w:t>A</w:t>
            </w:r>
            <w:r>
              <w:rPr>
                <w:rStyle w:val="29"/>
                <w:rFonts w:eastAsia="方正仿宋_GBK"/>
                <w:sz w:val="24"/>
                <w:szCs w:val="24"/>
              </w:rPr>
              <w:t>地块完成底板施工</w:t>
            </w:r>
          </w:p>
        </w:tc>
      </w:tr>
      <w:tr w14:paraId="291A2389">
        <w:tblPrEx>
          <w:tblCellMar>
            <w:top w:w="0" w:type="dxa"/>
            <w:left w:w="108" w:type="dxa"/>
            <w:bottom w:w="0" w:type="dxa"/>
            <w:right w:w="108" w:type="dxa"/>
          </w:tblCellMar>
        </w:tblPrEx>
        <w:trPr>
          <w:trHeight w:val="45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E7656">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81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47E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永乐南路社区中心</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CE9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完成主体施工</w:t>
            </w:r>
          </w:p>
        </w:tc>
      </w:tr>
      <w:tr w14:paraId="0617353E">
        <w:tblPrEx>
          <w:tblCellMar>
            <w:top w:w="0" w:type="dxa"/>
            <w:left w:w="108" w:type="dxa"/>
            <w:bottom w:w="0" w:type="dxa"/>
            <w:right w:w="108" w:type="dxa"/>
          </w:tblCellMar>
        </w:tblPrEx>
        <w:trPr>
          <w:trHeight w:val="4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FF83">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82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110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检察院业务技术大楼</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8AE43">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完成主体施工</w:t>
            </w:r>
          </w:p>
        </w:tc>
      </w:tr>
      <w:tr w14:paraId="266520FE">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C25E">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83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24389">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中牌楼保障房项目二期工程</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26EA">
            <w:pPr>
              <w:widowControl/>
              <w:spacing w:line="360" w:lineRule="exact"/>
              <w:jc w:val="left"/>
              <w:textAlignment w:val="center"/>
              <w:rPr>
                <w:rFonts w:ascii="Times New Roman" w:hAnsi="Times New Roman" w:eastAsia="方正仿宋_GBK" w:cs="Times New Roman"/>
                <w:color w:val="000000"/>
                <w:sz w:val="24"/>
              </w:rPr>
            </w:pPr>
            <w:r>
              <w:rPr>
                <w:rStyle w:val="19"/>
                <w:rFonts w:hint="default" w:ascii="Times New Roman" w:hAnsi="Times New Roman" w:eastAsia="方正仿宋_GBK" w:cs="Times New Roman"/>
                <w:b w:val="0"/>
                <w:sz w:val="24"/>
                <w:szCs w:val="24"/>
              </w:rPr>
              <w:t>B</w:t>
            </w:r>
            <w:r>
              <w:rPr>
                <w:rStyle w:val="29"/>
                <w:rFonts w:eastAsia="方正仿宋_GBK"/>
                <w:sz w:val="24"/>
                <w:szCs w:val="24"/>
              </w:rPr>
              <w:t>地块主体施工，</w:t>
            </w:r>
            <w:r>
              <w:rPr>
                <w:rStyle w:val="19"/>
                <w:rFonts w:hint="default" w:ascii="Times New Roman" w:hAnsi="Times New Roman" w:eastAsia="方正仿宋_GBK" w:cs="Times New Roman"/>
                <w:b w:val="0"/>
                <w:sz w:val="24"/>
                <w:szCs w:val="24"/>
              </w:rPr>
              <w:t>C</w:t>
            </w:r>
            <w:r>
              <w:rPr>
                <w:rStyle w:val="29"/>
                <w:rFonts w:eastAsia="方正仿宋_GBK"/>
                <w:sz w:val="24"/>
                <w:szCs w:val="24"/>
              </w:rPr>
              <w:t>地块地下室施工，</w:t>
            </w:r>
            <w:r>
              <w:rPr>
                <w:rStyle w:val="19"/>
                <w:rFonts w:hint="default" w:ascii="Times New Roman" w:hAnsi="Times New Roman" w:eastAsia="方正仿宋_GBK" w:cs="Times New Roman"/>
                <w:b w:val="0"/>
                <w:sz w:val="24"/>
                <w:szCs w:val="24"/>
              </w:rPr>
              <w:t>D</w:t>
            </w:r>
            <w:r>
              <w:rPr>
                <w:rStyle w:val="29"/>
                <w:rFonts w:eastAsia="方正仿宋_GBK"/>
                <w:sz w:val="24"/>
                <w:szCs w:val="24"/>
              </w:rPr>
              <w:t>地块桩基支护工程施工</w:t>
            </w:r>
          </w:p>
        </w:tc>
      </w:tr>
      <w:tr w14:paraId="170FED71">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BD36">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84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629B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庆华社区中心</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10E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2CC42197">
        <w:tblPrEx>
          <w:tblCellMar>
            <w:top w:w="0" w:type="dxa"/>
            <w:left w:w="108" w:type="dxa"/>
            <w:bottom w:w="0" w:type="dxa"/>
            <w:right w:w="108" w:type="dxa"/>
          </w:tblCellMar>
        </w:tblPrEx>
        <w:trPr>
          <w:trHeight w:val="54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4C55">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85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5646">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杨庄北侧保障房（含紫杨佳园中小学）</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0093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室外施工</w:t>
            </w:r>
          </w:p>
        </w:tc>
      </w:tr>
      <w:tr w14:paraId="25032464">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4D3C">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 xml:space="preserve">86 </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AD93">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观门口保障房</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5210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完工</w:t>
            </w:r>
          </w:p>
        </w:tc>
      </w:tr>
      <w:tr w14:paraId="180F6CF3">
        <w:tblPrEx>
          <w:tblCellMar>
            <w:top w:w="0" w:type="dxa"/>
            <w:left w:w="108" w:type="dxa"/>
            <w:bottom w:w="0" w:type="dxa"/>
            <w:right w:w="108" w:type="dxa"/>
          </w:tblCellMar>
        </w:tblPrEx>
        <w:trPr>
          <w:trHeight w:val="300" w:hRule="atLeast"/>
          <w:jc w:val="center"/>
        </w:trPr>
        <w:tc>
          <w:tcPr>
            <w:tcW w:w="96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523ADE">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三、前期项目</w:t>
            </w:r>
          </w:p>
        </w:tc>
      </w:tr>
      <w:tr w14:paraId="3A04C650">
        <w:tblPrEx>
          <w:tblCellMar>
            <w:top w:w="0" w:type="dxa"/>
            <w:left w:w="108" w:type="dxa"/>
            <w:bottom w:w="0" w:type="dxa"/>
            <w:right w:w="108" w:type="dxa"/>
          </w:tblCellMar>
        </w:tblPrEx>
        <w:trPr>
          <w:trHeight w:val="300" w:hRule="atLeast"/>
          <w:jc w:val="center"/>
        </w:trPr>
        <w:tc>
          <w:tcPr>
            <w:tcW w:w="5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BAA62E">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（一）楼宇园区改造类项目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7672">
            <w:pPr>
              <w:widowControl/>
              <w:spacing w:line="360" w:lineRule="exact"/>
              <w:jc w:val="center"/>
              <w:rPr>
                <w:rFonts w:ascii="Times New Roman" w:hAnsi="Times New Roman" w:eastAsia="方正仿宋_GBK" w:cs="Times New Roman"/>
                <w:color w:val="000000"/>
                <w:sz w:val="24"/>
              </w:rPr>
            </w:pPr>
          </w:p>
        </w:tc>
      </w:tr>
      <w:tr w14:paraId="012C5FCF">
        <w:trPr>
          <w:trHeight w:val="31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B134">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87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3169">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绕外卷烟厂仓库</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DFDE">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推进烟厂仓库出租、运营和策划研究</w:t>
            </w:r>
          </w:p>
        </w:tc>
      </w:tr>
      <w:tr w14:paraId="5AE162BD">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5EC24">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88</w:t>
            </w:r>
          </w:p>
        </w:tc>
        <w:tc>
          <w:tcPr>
            <w:tcW w:w="5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6F64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光华产业园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DFC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24D9E2D8">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4F1A">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89</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3C150">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报业大厦</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42702">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完成投资主体确认</w:t>
            </w:r>
          </w:p>
        </w:tc>
      </w:tr>
      <w:tr w14:paraId="19D567B6">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EF81">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90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38A6">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建华大厦</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3F83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研究楼宇整治路径及方案设计</w:t>
            </w:r>
          </w:p>
        </w:tc>
      </w:tr>
      <w:tr w14:paraId="2285F0EE">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F10AC">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91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447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天一阁</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E8721">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42C3C8FC">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8584">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92</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D8A5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香港城</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489A">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022F143A">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A7E1">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93</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59AE">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印象汇</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C3B1">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明确产品定位，完成方案设计</w:t>
            </w:r>
          </w:p>
        </w:tc>
      </w:tr>
      <w:tr w14:paraId="35F5FF27">
        <w:tblPrEx>
          <w:tblCellMar>
            <w:top w:w="0" w:type="dxa"/>
            <w:left w:w="108" w:type="dxa"/>
            <w:bottom w:w="0" w:type="dxa"/>
            <w:right w:w="108" w:type="dxa"/>
          </w:tblCellMar>
        </w:tblPrEx>
        <w:trPr>
          <w:trHeight w:val="39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FC75">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94</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A853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英王府中医药文化健康产业中心（二期）</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664D">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54ECF067">
        <w:tblPrEx>
          <w:tblCellMar>
            <w:top w:w="0" w:type="dxa"/>
            <w:left w:w="108" w:type="dxa"/>
            <w:bottom w:w="0" w:type="dxa"/>
            <w:right w:w="108" w:type="dxa"/>
          </w:tblCellMar>
        </w:tblPrEx>
        <w:trPr>
          <w:trHeight w:val="300" w:hRule="atLeast"/>
          <w:jc w:val="center"/>
        </w:trPr>
        <w:tc>
          <w:tcPr>
            <w:tcW w:w="5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167BA5">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（二）低效用地类项目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3E65E">
            <w:pPr>
              <w:widowControl/>
              <w:spacing w:line="360" w:lineRule="exact"/>
              <w:jc w:val="left"/>
              <w:rPr>
                <w:rFonts w:ascii="Times New Roman" w:hAnsi="Times New Roman" w:eastAsia="方正仿宋_GBK" w:cs="Times New Roman"/>
                <w:color w:val="000000"/>
                <w:sz w:val="24"/>
              </w:rPr>
            </w:pPr>
          </w:p>
        </w:tc>
      </w:tr>
      <w:tr w14:paraId="4CC5E759">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9F677">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95</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8F61">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中牌楼西</w:t>
            </w:r>
            <w:r>
              <w:rPr>
                <w:rStyle w:val="19"/>
                <w:rFonts w:hint="default" w:ascii="Times New Roman" w:hAnsi="Times New Roman" w:eastAsia="方正仿宋_GBK" w:cs="Times New Roman"/>
                <w:b w:val="0"/>
                <w:sz w:val="24"/>
                <w:szCs w:val="24"/>
              </w:rPr>
              <w:t>118</w:t>
            </w:r>
            <w:r>
              <w:rPr>
                <w:rStyle w:val="29"/>
                <w:rFonts w:eastAsia="方正仿宋_GBK"/>
                <w:sz w:val="24"/>
                <w:szCs w:val="24"/>
              </w:rPr>
              <w:t>号地块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9347">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371CEC18">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8E52">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96</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8C38">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秦淮硅巷</w:t>
            </w:r>
            <w:r>
              <w:rPr>
                <w:rStyle w:val="19"/>
                <w:rFonts w:hint="default" w:ascii="Times New Roman" w:hAnsi="Times New Roman" w:eastAsia="方正仿宋_GBK" w:cs="Times New Roman"/>
                <w:b w:val="0"/>
                <w:sz w:val="24"/>
                <w:szCs w:val="24"/>
              </w:rPr>
              <w:t>·</w:t>
            </w:r>
            <w:r>
              <w:rPr>
                <w:rStyle w:val="29"/>
                <w:rFonts w:eastAsia="方正仿宋_GBK"/>
                <w:sz w:val="24"/>
                <w:szCs w:val="24"/>
              </w:rPr>
              <w:t>南京工业设计园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2C3D">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6E7A227F">
        <w:tblPrEx>
          <w:tblCellMar>
            <w:top w:w="0" w:type="dxa"/>
            <w:left w:w="108" w:type="dxa"/>
            <w:bottom w:w="0" w:type="dxa"/>
            <w:right w:w="108" w:type="dxa"/>
          </w:tblCellMar>
        </w:tblPrEx>
        <w:trPr>
          <w:trHeight w:val="4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EB73">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97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CC08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金陵智造研究院（晨光科技创新园）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B33E">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30341A9D">
        <w:tblPrEx>
          <w:tblCellMar>
            <w:top w:w="0" w:type="dxa"/>
            <w:left w:w="108" w:type="dxa"/>
            <w:bottom w:w="0" w:type="dxa"/>
            <w:right w:w="108" w:type="dxa"/>
          </w:tblCellMar>
        </w:tblPrEx>
        <w:trPr>
          <w:trHeight w:val="44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FB650">
            <w:pPr>
              <w:widowControl/>
              <w:spacing w:line="360" w:lineRule="exact"/>
              <w:jc w:val="center"/>
              <w:textAlignment w:val="center"/>
              <w:rPr>
                <w:rStyle w:val="29"/>
                <w:rFonts w:eastAsia="方正仿宋_GBK"/>
                <w:sz w:val="24"/>
                <w:szCs w:val="24"/>
              </w:rPr>
            </w:pPr>
            <w:r>
              <w:rPr>
                <w:rStyle w:val="29"/>
                <w:rFonts w:eastAsia="方正仿宋_GBK"/>
                <w:sz w:val="24"/>
                <w:szCs w:val="24"/>
              </w:rPr>
              <w:t>98</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732E">
            <w:pPr>
              <w:widowControl/>
              <w:spacing w:line="360" w:lineRule="exact"/>
              <w:jc w:val="left"/>
              <w:textAlignment w:val="center"/>
              <w:rPr>
                <w:rStyle w:val="29"/>
                <w:rFonts w:eastAsia="方正仿宋_GBK"/>
                <w:sz w:val="24"/>
                <w:szCs w:val="24"/>
              </w:rPr>
            </w:pPr>
            <w:r>
              <w:rPr>
                <w:rStyle w:val="29"/>
                <w:rFonts w:eastAsia="方正仿宋_GBK"/>
                <w:sz w:val="24"/>
                <w:szCs w:val="24"/>
              </w:rPr>
              <w:t>石门坎华联超市（中远航修厂）</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1D8A">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353BFD98">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96B2">
            <w:pPr>
              <w:widowControl/>
              <w:spacing w:line="360" w:lineRule="exact"/>
              <w:jc w:val="center"/>
              <w:textAlignment w:val="center"/>
              <w:rPr>
                <w:rStyle w:val="29"/>
                <w:rFonts w:eastAsia="方正仿宋_GBK"/>
                <w:sz w:val="24"/>
                <w:szCs w:val="24"/>
              </w:rPr>
            </w:pPr>
            <w:r>
              <w:rPr>
                <w:rStyle w:val="29"/>
                <w:rFonts w:eastAsia="方正仿宋_GBK"/>
                <w:sz w:val="24"/>
                <w:szCs w:val="24"/>
              </w:rPr>
              <w:t>99</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1BE0">
            <w:pPr>
              <w:widowControl/>
              <w:spacing w:line="360" w:lineRule="exact"/>
              <w:jc w:val="left"/>
              <w:textAlignment w:val="center"/>
              <w:rPr>
                <w:rStyle w:val="29"/>
                <w:rFonts w:eastAsia="方正仿宋_GBK"/>
                <w:sz w:val="24"/>
                <w:szCs w:val="24"/>
              </w:rPr>
            </w:pPr>
            <w:r>
              <w:rPr>
                <w:rStyle w:val="29"/>
                <w:rFonts w:eastAsia="方正仿宋_GBK"/>
                <w:sz w:val="24"/>
                <w:szCs w:val="24"/>
              </w:rPr>
              <w:t>剪子巷156号地块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770F4">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推进前期手续办理</w:t>
            </w:r>
          </w:p>
        </w:tc>
      </w:tr>
      <w:tr w14:paraId="361B7D0C">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5AEF">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98E5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曙光文化产业园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4B58">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6E864549">
        <w:tblPrEx>
          <w:tblCellMar>
            <w:top w:w="0" w:type="dxa"/>
            <w:left w:w="108" w:type="dxa"/>
            <w:bottom w:w="0" w:type="dxa"/>
            <w:right w:w="108" w:type="dxa"/>
          </w:tblCellMar>
        </w:tblPrEx>
        <w:trPr>
          <w:trHeight w:val="300" w:hRule="atLeast"/>
          <w:jc w:val="center"/>
        </w:trPr>
        <w:tc>
          <w:tcPr>
            <w:tcW w:w="57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C0227">
            <w:pPr>
              <w:widowControl/>
              <w:spacing w:line="360" w:lineRule="exact"/>
              <w:jc w:val="left"/>
              <w:textAlignment w:val="center"/>
              <w:rPr>
                <w:rFonts w:ascii="Times New Roman" w:hAnsi="Times New Roman" w:eastAsia="方正仿宋_GBK" w:cs="Times New Roman"/>
                <w:color w:val="000000"/>
                <w:sz w:val="24"/>
              </w:rPr>
            </w:pPr>
            <w:r>
              <w:rPr>
                <w:rStyle w:val="20"/>
                <w:rFonts w:eastAsia="方正仿宋_GBK"/>
                <w:b/>
                <w:bCs/>
                <w:sz w:val="24"/>
                <w:szCs w:val="24"/>
              </w:rPr>
              <w:t>（三）研究类项目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A12A">
            <w:pPr>
              <w:widowControl/>
              <w:spacing w:line="360" w:lineRule="exact"/>
              <w:jc w:val="left"/>
              <w:rPr>
                <w:rFonts w:ascii="Times New Roman" w:hAnsi="Times New Roman" w:eastAsia="方正仿宋_GBK" w:cs="Times New Roman"/>
                <w:color w:val="000000"/>
                <w:sz w:val="24"/>
              </w:rPr>
            </w:pPr>
          </w:p>
        </w:tc>
      </w:tr>
      <w:tr w14:paraId="11819CA9">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9610">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35C0F">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南京博物院故宫馆</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23FA">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推进项目前期工作</w:t>
            </w:r>
          </w:p>
        </w:tc>
      </w:tr>
      <w:tr w14:paraId="4AE564B0">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669B9">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102</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628C">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宏光科技大厦</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01B9">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0802B8A2">
        <w:tblPrEx>
          <w:tblCellMar>
            <w:top w:w="0" w:type="dxa"/>
            <w:left w:w="108" w:type="dxa"/>
            <w:bottom w:w="0" w:type="dxa"/>
            <w:right w:w="108" w:type="dxa"/>
          </w:tblCellMar>
        </w:tblPrEx>
        <w:trPr>
          <w:trHeight w:val="38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E79B8">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103</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51D6F">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西街城市记忆文旅街区</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C821">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0B8F8A7D">
        <w:trPr>
          <w:trHeight w:val="35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605E">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104</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7B37">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大报恩寺遗址公园二期黄泥塘地块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CAB7">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5CA5F12D">
        <w:tblPrEx>
          <w:tblCellMar>
            <w:top w:w="0" w:type="dxa"/>
            <w:left w:w="108" w:type="dxa"/>
            <w:bottom w:w="0" w:type="dxa"/>
            <w:right w:w="108" w:type="dxa"/>
          </w:tblCellMar>
        </w:tblPrEx>
        <w:trPr>
          <w:trHeight w:val="35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00CC">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105</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DEA0">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新街口商务商贸大厦</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0D9A">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推进土地挂牌出让</w:t>
            </w:r>
          </w:p>
        </w:tc>
      </w:tr>
      <w:tr w14:paraId="39EB91D0">
        <w:tblPrEx>
          <w:tblCellMar>
            <w:top w:w="0" w:type="dxa"/>
            <w:left w:w="108" w:type="dxa"/>
            <w:bottom w:w="0" w:type="dxa"/>
            <w:right w:w="108" w:type="dxa"/>
          </w:tblCellMar>
        </w:tblPrEx>
        <w:trPr>
          <w:trHeight w:val="36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D10BC">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106</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78F3">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省中医院科教大楼</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A671">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完成地块开发方案设计</w:t>
            </w:r>
          </w:p>
        </w:tc>
      </w:tr>
      <w:tr w14:paraId="3524E1FF">
        <w:tblPrEx>
          <w:tblCellMar>
            <w:top w:w="0" w:type="dxa"/>
            <w:left w:w="108" w:type="dxa"/>
            <w:bottom w:w="0" w:type="dxa"/>
            <w:right w:w="108" w:type="dxa"/>
          </w:tblCellMar>
        </w:tblPrEx>
        <w:trPr>
          <w:trHeight w:val="35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ED3DC">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E988">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北文投项目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9F777">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推进前期手续办理</w:t>
            </w:r>
          </w:p>
        </w:tc>
      </w:tr>
      <w:tr w14:paraId="73D3C35A">
        <w:tblPrEx>
          <w:tblCellMar>
            <w:top w:w="0" w:type="dxa"/>
            <w:left w:w="108" w:type="dxa"/>
            <w:bottom w:w="0" w:type="dxa"/>
            <w:right w:w="108" w:type="dxa"/>
          </w:tblCellMar>
        </w:tblPrEx>
        <w:trPr>
          <w:trHeight w:val="31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D9E2">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108</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2CA1">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河头项目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1CF6">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研究地块运作方式，耕地占补平衡，同步完成商业运营策划方案</w:t>
            </w:r>
          </w:p>
        </w:tc>
      </w:tr>
      <w:tr w14:paraId="13A07C5C">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0CEF">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109</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1E3E">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油库公园</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C163">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加快推进控规稳定等相关事宜</w:t>
            </w:r>
          </w:p>
        </w:tc>
      </w:tr>
      <w:tr w14:paraId="4C47218B">
        <w:tblPrEx>
          <w:tblCellMar>
            <w:top w:w="0" w:type="dxa"/>
            <w:left w:w="108" w:type="dxa"/>
            <w:bottom w:w="0" w:type="dxa"/>
            <w:right w:w="108" w:type="dxa"/>
          </w:tblCellMar>
        </w:tblPrEx>
        <w:trPr>
          <w:trHeight w:val="43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7916">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8ED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机场三路居住社区中心（出让）</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C235">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推进土地挂牌出让</w:t>
            </w:r>
          </w:p>
        </w:tc>
      </w:tr>
      <w:tr w14:paraId="3F98C289">
        <w:tblPrEx>
          <w:tblCellMar>
            <w:top w:w="0" w:type="dxa"/>
            <w:left w:w="108" w:type="dxa"/>
            <w:bottom w:w="0" w:type="dxa"/>
            <w:right w:w="108" w:type="dxa"/>
          </w:tblCellMar>
        </w:tblPrEx>
        <w:trPr>
          <w:trHeight w:val="31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7DDA">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8A8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南部新城</w:t>
            </w:r>
            <w:r>
              <w:rPr>
                <w:rStyle w:val="19"/>
                <w:rFonts w:hint="default" w:ascii="Times New Roman" w:hAnsi="Times New Roman" w:eastAsia="方正仿宋_GBK" w:cs="Times New Roman"/>
                <w:b w:val="0"/>
                <w:sz w:val="24"/>
                <w:szCs w:val="24"/>
              </w:rPr>
              <w:t xml:space="preserve">049 </w:t>
            </w:r>
            <w:r>
              <w:rPr>
                <w:rStyle w:val="29"/>
                <w:rFonts w:eastAsia="方正仿宋_GBK"/>
                <w:sz w:val="24"/>
                <w:szCs w:val="24"/>
              </w:rPr>
              <w:t>地块项目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62C3">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推进土地挂牌出让</w:t>
            </w:r>
          </w:p>
        </w:tc>
      </w:tr>
      <w:tr w14:paraId="3F4ADE51">
        <w:tblPrEx>
          <w:tblCellMar>
            <w:top w:w="0" w:type="dxa"/>
            <w:left w:w="108" w:type="dxa"/>
            <w:bottom w:w="0" w:type="dxa"/>
            <w:right w:w="108" w:type="dxa"/>
          </w:tblCellMar>
        </w:tblPrEx>
        <w:trPr>
          <w:trHeight w:val="31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6BC3">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112</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C41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南部新城</w:t>
            </w:r>
            <w:r>
              <w:rPr>
                <w:rStyle w:val="19"/>
                <w:rFonts w:hint="default" w:ascii="Times New Roman" w:hAnsi="Times New Roman" w:eastAsia="方正仿宋_GBK" w:cs="Times New Roman"/>
                <w:b w:val="0"/>
                <w:sz w:val="24"/>
                <w:szCs w:val="24"/>
              </w:rPr>
              <w:t xml:space="preserve">032 </w:t>
            </w:r>
            <w:r>
              <w:rPr>
                <w:rStyle w:val="29"/>
                <w:rFonts w:eastAsia="方正仿宋_GBK"/>
                <w:sz w:val="24"/>
                <w:szCs w:val="24"/>
              </w:rPr>
              <w:t>地块项目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83F04">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推进前期手续办理</w:t>
            </w:r>
          </w:p>
        </w:tc>
      </w:tr>
      <w:tr w14:paraId="02CEE103">
        <w:tblPrEx>
          <w:tblCellMar>
            <w:top w:w="0" w:type="dxa"/>
            <w:left w:w="108" w:type="dxa"/>
            <w:bottom w:w="0" w:type="dxa"/>
            <w:right w:w="108" w:type="dxa"/>
          </w:tblCellMar>
        </w:tblPrEx>
        <w:trPr>
          <w:trHeight w:val="3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71FB">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113</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727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南部新城佳营路南，明贤路东地块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904F8">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推进土地挂牌出让</w:t>
            </w:r>
          </w:p>
        </w:tc>
      </w:tr>
      <w:tr w14:paraId="597547D0">
        <w:tblPrEx>
          <w:tblCellMar>
            <w:top w:w="0" w:type="dxa"/>
            <w:left w:w="108" w:type="dxa"/>
            <w:bottom w:w="0" w:type="dxa"/>
            <w:right w:w="108" w:type="dxa"/>
          </w:tblCellMar>
        </w:tblPrEx>
        <w:trPr>
          <w:trHeight w:val="4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9481">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114</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92D3">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南部新城汇秀路南，祥天路西地块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8F0F">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推进土地挂牌出让</w:t>
            </w:r>
          </w:p>
        </w:tc>
      </w:tr>
      <w:tr w14:paraId="4AFBA5EC">
        <w:tblPrEx>
          <w:tblCellMar>
            <w:top w:w="0" w:type="dxa"/>
            <w:left w:w="108" w:type="dxa"/>
            <w:bottom w:w="0" w:type="dxa"/>
            <w:right w:w="108" w:type="dxa"/>
          </w:tblCellMar>
        </w:tblPrEx>
        <w:trPr>
          <w:trHeight w:val="3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6E12">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115</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DA23">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南部新城汇景北路南，祥天路西地块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64FC">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推进土地挂牌出让</w:t>
            </w:r>
          </w:p>
        </w:tc>
      </w:tr>
      <w:tr w14:paraId="7EC7144B">
        <w:tblPrEx>
          <w:tblCellMar>
            <w:top w:w="0" w:type="dxa"/>
            <w:left w:w="108" w:type="dxa"/>
            <w:bottom w:w="0" w:type="dxa"/>
            <w:right w:w="108" w:type="dxa"/>
          </w:tblCellMar>
        </w:tblPrEx>
        <w:trPr>
          <w:trHeight w:val="31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8B6D">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116</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DBDD">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南部新城佳营路南，祥天路西地块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06D4">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推进土地挂牌出让</w:t>
            </w:r>
          </w:p>
        </w:tc>
      </w:tr>
      <w:tr w14:paraId="652D2F01">
        <w:tblPrEx>
          <w:tblCellMar>
            <w:top w:w="0" w:type="dxa"/>
            <w:left w:w="108" w:type="dxa"/>
            <w:bottom w:w="0" w:type="dxa"/>
            <w:right w:w="108" w:type="dxa"/>
          </w:tblCellMar>
        </w:tblPrEx>
        <w:trPr>
          <w:trHeight w:val="38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07B0">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1C5CE">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南部新城佳营路南，神机营路西地块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418E7">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推进土地挂牌出让</w:t>
            </w:r>
          </w:p>
        </w:tc>
      </w:tr>
      <w:tr w14:paraId="200AA67D">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CFB0">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118</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8333">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弘学路地块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06A3">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完成地块城市设计</w:t>
            </w:r>
          </w:p>
        </w:tc>
      </w:tr>
      <w:tr w14:paraId="0F59AF61">
        <w:tblPrEx>
          <w:tblCellMar>
            <w:top w:w="0" w:type="dxa"/>
            <w:left w:w="108" w:type="dxa"/>
            <w:bottom w:w="0" w:type="dxa"/>
            <w:right w:w="108" w:type="dxa"/>
          </w:tblCellMar>
        </w:tblPrEx>
        <w:trPr>
          <w:trHeight w:val="5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EA816">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119</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B775">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秦淮智慧产业孵化园（原洪家园片区危旧房改造）</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C57AA">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前期研究，推进工企征收</w:t>
            </w:r>
          </w:p>
        </w:tc>
      </w:tr>
      <w:tr w14:paraId="0772C15A">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EEBC">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A776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白下高新区科创基地项目</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763F">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0651FFE4">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88F84">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121</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0604">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牌楼、郑家营地块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55A0">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完成地块开发方案</w:t>
            </w:r>
          </w:p>
        </w:tc>
      </w:tr>
      <w:tr w14:paraId="1B0598F1">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FB07C">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122</w:t>
            </w:r>
          </w:p>
        </w:tc>
        <w:tc>
          <w:tcPr>
            <w:tcW w:w="5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B3C79">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东部医疗中心</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A89A">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1F331153">
        <w:tblPrEx>
          <w:tblCellMar>
            <w:top w:w="0" w:type="dxa"/>
            <w:left w:w="108" w:type="dxa"/>
            <w:bottom w:w="0" w:type="dxa"/>
            <w:right w:w="108" w:type="dxa"/>
          </w:tblCellMar>
        </w:tblPrEx>
        <w:trPr>
          <w:trHeight w:val="7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6C01">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123</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8D67">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光华路南地块（光华路道路综合整治指挥部地块）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711BE">
            <w:pPr>
              <w:widowControl/>
              <w:spacing w:line="36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完成地块城市设计</w:t>
            </w:r>
          </w:p>
        </w:tc>
      </w:tr>
      <w:tr w14:paraId="4912D19B">
        <w:tblPrEx>
          <w:tblCellMar>
            <w:top w:w="0" w:type="dxa"/>
            <w:left w:w="108" w:type="dxa"/>
            <w:bottom w:w="0" w:type="dxa"/>
            <w:right w:w="108" w:type="dxa"/>
          </w:tblCellMar>
        </w:tblPrEx>
        <w:trPr>
          <w:trHeight w:val="67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A07A6">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124</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57F5">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普天</w:t>
            </w:r>
            <w:r>
              <w:rPr>
                <w:rStyle w:val="19"/>
                <w:rFonts w:hint="default" w:ascii="Times New Roman" w:hAnsi="Times New Roman" w:eastAsia="方正仿宋_GBK" w:cs="Times New Roman"/>
                <w:b w:val="0"/>
                <w:sz w:val="24"/>
                <w:szCs w:val="24"/>
              </w:rPr>
              <w:t>1</w:t>
            </w:r>
            <w:r>
              <w:rPr>
                <w:rStyle w:val="29"/>
                <w:rFonts w:eastAsia="方正仿宋_GBK"/>
                <w:sz w:val="24"/>
                <w:szCs w:val="24"/>
              </w:rPr>
              <w:t>号</w:t>
            </w:r>
            <w:r>
              <w:rPr>
                <w:rStyle w:val="19"/>
                <w:rFonts w:hint="default" w:ascii="Times New Roman" w:hAnsi="Times New Roman" w:eastAsia="方正仿宋_GBK" w:cs="Times New Roman"/>
                <w:b w:val="0"/>
                <w:sz w:val="24"/>
                <w:szCs w:val="24"/>
              </w:rPr>
              <w:t>518</w:t>
            </w:r>
            <w:r>
              <w:rPr>
                <w:rStyle w:val="29"/>
                <w:rFonts w:eastAsia="方正仿宋_GBK"/>
                <w:sz w:val="24"/>
                <w:szCs w:val="24"/>
              </w:rPr>
              <w:t>街区</w:t>
            </w:r>
            <w:r>
              <w:rPr>
                <w:rStyle w:val="19"/>
                <w:rFonts w:hint="default" w:ascii="Times New Roman" w:hAnsi="Times New Roman" w:eastAsia="方正仿宋_GBK" w:cs="Times New Roman"/>
                <w:b w:val="0"/>
                <w:sz w:val="24"/>
                <w:szCs w:val="24"/>
              </w:rPr>
              <w:t>A-2</w:t>
            </w:r>
            <w:r>
              <w:rPr>
                <w:rStyle w:val="29"/>
                <w:rFonts w:eastAsia="方正仿宋_GBK"/>
                <w:sz w:val="24"/>
                <w:szCs w:val="24"/>
              </w:rPr>
              <w:t>、</w:t>
            </w:r>
            <w:r>
              <w:rPr>
                <w:rStyle w:val="19"/>
                <w:rFonts w:hint="default" w:ascii="Times New Roman" w:hAnsi="Times New Roman" w:eastAsia="方正仿宋_GBK" w:cs="Times New Roman"/>
                <w:b w:val="0"/>
                <w:sz w:val="24"/>
                <w:szCs w:val="24"/>
              </w:rPr>
              <w:t>B</w:t>
            </w:r>
            <w:r>
              <w:rPr>
                <w:rStyle w:val="29"/>
                <w:rFonts w:eastAsia="方正仿宋_GBK"/>
                <w:sz w:val="24"/>
                <w:szCs w:val="24"/>
              </w:rPr>
              <w:t>地块项目（普天</w:t>
            </w:r>
            <w:r>
              <w:rPr>
                <w:rStyle w:val="19"/>
                <w:rFonts w:hint="default" w:ascii="Times New Roman" w:hAnsi="Times New Roman" w:eastAsia="方正仿宋_GBK" w:cs="Times New Roman"/>
                <w:b w:val="0"/>
                <w:sz w:val="24"/>
                <w:szCs w:val="24"/>
              </w:rPr>
              <w:t>518</w:t>
            </w:r>
            <w:r>
              <w:rPr>
                <w:rStyle w:val="29"/>
                <w:rFonts w:eastAsia="方正仿宋_GBK"/>
                <w:sz w:val="24"/>
                <w:szCs w:val="24"/>
              </w:rPr>
              <w:t>智造创新街区）</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6CC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132C22C0">
        <w:tblPrEx>
          <w:tblCellMar>
            <w:top w:w="0" w:type="dxa"/>
            <w:left w:w="108" w:type="dxa"/>
            <w:bottom w:w="0" w:type="dxa"/>
            <w:right w:w="108" w:type="dxa"/>
          </w:tblCellMar>
        </w:tblPrEx>
        <w:trPr>
          <w:trHeight w:val="35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7E73F">
            <w:pPr>
              <w:widowControl/>
              <w:spacing w:line="360" w:lineRule="exact"/>
              <w:jc w:val="center"/>
              <w:textAlignment w:val="center"/>
              <w:rPr>
                <w:rStyle w:val="19"/>
                <w:rFonts w:hint="default" w:ascii="Times New Roman" w:hAnsi="Times New Roman" w:eastAsia="方正仿宋_GBK" w:cs="Times New Roman"/>
                <w:b w:val="0"/>
                <w:sz w:val="24"/>
                <w:szCs w:val="24"/>
              </w:rPr>
            </w:pPr>
            <w:r>
              <w:rPr>
                <w:rStyle w:val="19"/>
                <w:rFonts w:hint="default" w:ascii="Times New Roman" w:hAnsi="Times New Roman" w:eastAsia="方正仿宋_GBK" w:cs="Times New Roman"/>
                <w:b w:val="0"/>
                <w:sz w:val="24"/>
                <w:szCs w:val="24"/>
              </w:rPr>
              <w:t>125</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6BDE">
            <w:pPr>
              <w:widowControl/>
              <w:spacing w:line="360" w:lineRule="exact"/>
              <w:jc w:val="left"/>
              <w:textAlignment w:val="center"/>
              <w:rPr>
                <w:rStyle w:val="19"/>
                <w:rFonts w:hint="default" w:ascii="Times New Roman" w:hAnsi="Times New Roman" w:eastAsia="方正仿宋_GBK" w:cs="Times New Roman"/>
                <w:b w:val="0"/>
                <w:sz w:val="24"/>
                <w:szCs w:val="24"/>
              </w:rPr>
            </w:pPr>
            <w:r>
              <w:rPr>
                <w:rStyle w:val="19"/>
                <w:rFonts w:hint="default" w:ascii="Times New Roman" w:hAnsi="Times New Roman" w:eastAsia="方正仿宋_GBK" w:cs="Times New Roman"/>
                <w:b w:val="0"/>
                <w:sz w:val="24"/>
                <w:szCs w:val="24"/>
              </w:rPr>
              <w:t>江苏万邦总部基地与研发中心</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1CDB">
            <w:pPr>
              <w:widowControl/>
              <w:spacing w:line="360" w:lineRule="exact"/>
              <w:jc w:val="left"/>
              <w:textAlignment w:val="center"/>
              <w:rPr>
                <w:rStyle w:val="19"/>
                <w:rFonts w:hint="default" w:ascii="Times New Roman" w:hAnsi="Times New Roman" w:eastAsia="方正仿宋_GBK" w:cs="Times New Roman"/>
                <w:b w:val="0"/>
                <w:sz w:val="24"/>
                <w:szCs w:val="24"/>
              </w:rPr>
            </w:pPr>
            <w:r>
              <w:rPr>
                <w:rStyle w:val="19"/>
                <w:rFonts w:hint="default" w:ascii="Times New Roman" w:hAnsi="Times New Roman" w:eastAsia="方正仿宋_GBK" w:cs="Times New Roman"/>
                <w:b w:val="0"/>
                <w:sz w:val="24"/>
                <w:szCs w:val="24"/>
              </w:rPr>
              <w:t>推进低效用地等前期手续办理</w:t>
            </w:r>
          </w:p>
        </w:tc>
      </w:tr>
      <w:tr w14:paraId="1A2BE50D">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F9972">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126</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C8F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煤场社区中心</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DA8C">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4BBA66F1">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70D79">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127</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81C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养虎仓地块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839D">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65ED33C1">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F1C0D">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128</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DE59">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小锏银巷</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DB33">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13D8B3A8">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072F">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129</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B8E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太平巷</w:t>
            </w:r>
            <w:r>
              <w:rPr>
                <w:rStyle w:val="19"/>
                <w:rFonts w:hint="default" w:ascii="Times New Roman" w:hAnsi="Times New Roman" w:eastAsia="方正仿宋_GBK" w:cs="Times New Roman"/>
                <w:b w:val="0"/>
                <w:sz w:val="24"/>
                <w:szCs w:val="24"/>
              </w:rPr>
              <w:t>20</w:t>
            </w:r>
            <w:r>
              <w:rPr>
                <w:rStyle w:val="29"/>
                <w:rFonts w:eastAsia="方正仿宋_GBK"/>
                <w:sz w:val="24"/>
                <w:szCs w:val="24"/>
              </w:rPr>
              <w:t>号地块</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F4AD">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r w14:paraId="5CB633C6">
        <w:tblPrEx>
          <w:tblCellMar>
            <w:top w:w="0" w:type="dxa"/>
            <w:left w:w="108" w:type="dxa"/>
            <w:bottom w:w="0" w:type="dxa"/>
            <w:right w:w="108" w:type="dxa"/>
          </w:tblCellMar>
        </w:tblPrEx>
        <w:trPr>
          <w:trHeight w:val="3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CD25">
            <w:pPr>
              <w:widowControl/>
              <w:spacing w:line="36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130</w:t>
            </w:r>
          </w:p>
        </w:tc>
        <w:tc>
          <w:tcPr>
            <w:tcW w:w="50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2B97">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八宝东街学校</w:t>
            </w:r>
          </w:p>
        </w:tc>
        <w:tc>
          <w:tcPr>
            <w:tcW w:w="3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2FF4">
            <w:pPr>
              <w:widowControl/>
              <w:spacing w:line="360" w:lineRule="exact"/>
              <w:jc w:val="left"/>
              <w:textAlignment w:val="center"/>
              <w:rPr>
                <w:rFonts w:ascii="Times New Roman" w:hAnsi="Times New Roman" w:eastAsia="方正仿宋_GBK" w:cs="Times New Roman"/>
                <w:color w:val="000000"/>
                <w:sz w:val="24"/>
              </w:rPr>
            </w:pPr>
            <w:r>
              <w:rPr>
                <w:rStyle w:val="29"/>
                <w:rFonts w:eastAsia="方正仿宋_GBK"/>
                <w:sz w:val="24"/>
                <w:szCs w:val="24"/>
              </w:rPr>
              <w:t>前期研究</w:t>
            </w:r>
          </w:p>
        </w:tc>
      </w:tr>
    </w:tbl>
    <w:p w14:paraId="0DC320AE">
      <w:pPr>
        <w:pStyle w:val="9"/>
        <w:rPr>
          <w:rFonts w:ascii="Times New Roman" w:hAnsi="Times New Roman" w:eastAsia="方正黑体_GBK" w:cs="Times New Roman"/>
          <w:sz w:val="32"/>
          <w:szCs w:val="32"/>
        </w:rPr>
      </w:pPr>
    </w:p>
    <w:p w14:paraId="527AFDA3">
      <w:pPr>
        <w:pStyle w:val="9"/>
        <w:rPr>
          <w:rFonts w:ascii="Times New Roman" w:hAnsi="Times New Roman" w:eastAsia="方正黑体_GBK" w:cs="Times New Roman"/>
          <w:sz w:val="32"/>
          <w:szCs w:val="32"/>
        </w:rPr>
      </w:pPr>
    </w:p>
    <w:p w14:paraId="3D27DECD">
      <w:pPr>
        <w:pStyle w:val="9"/>
        <w:rPr>
          <w:rFonts w:ascii="Times New Roman" w:hAnsi="Times New Roman" w:eastAsia="方正黑体_GBK" w:cs="Times New Roman"/>
          <w:sz w:val="32"/>
          <w:szCs w:val="32"/>
        </w:rPr>
      </w:pPr>
    </w:p>
    <w:p w14:paraId="6D4A8483">
      <w:pPr>
        <w:pStyle w:val="9"/>
        <w:rPr>
          <w:rFonts w:ascii="Times New Roman" w:hAnsi="Times New Roman" w:eastAsia="方正黑体_GBK" w:cs="Times New Roman"/>
          <w:sz w:val="32"/>
          <w:szCs w:val="32"/>
        </w:rPr>
      </w:pPr>
    </w:p>
    <w:p w14:paraId="3F2234F0">
      <w:pPr>
        <w:pStyle w:val="9"/>
        <w:rPr>
          <w:rFonts w:ascii="Times New Roman" w:hAnsi="Times New Roman" w:eastAsia="方正黑体_GBK" w:cs="Times New Roman"/>
          <w:sz w:val="32"/>
          <w:szCs w:val="32"/>
        </w:rPr>
      </w:pPr>
    </w:p>
    <w:p w14:paraId="7FF905E0">
      <w:pPr>
        <w:pStyle w:val="9"/>
        <w:rPr>
          <w:rFonts w:ascii="Times New Roman" w:hAnsi="Times New Roman" w:eastAsia="方正黑体_GBK" w:cs="Times New Roman"/>
          <w:sz w:val="32"/>
          <w:szCs w:val="32"/>
        </w:rPr>
      </w:pPr>
    </w:p>
    <w:p w14:paraId="1A85CA83">
      <w:pPr>
        <w:pStyle w:val="9"/>
        <w:rPr>
          <w:rFonts w:ascii="Times New Roman" w:hAnsi="Times New Roman" w:eastAsia="方正黑体_GBK" w:cs="Times New Roman"/>
          <w:sz w:val="32"/>
          <w:szCs w:val="32"/>
        </w:rPr>
      </w:pPr>
    </w:p>
    <w:p w14:paraId="2E5B0DBD">
      <w:pPr>
        <w:pStyle w:val="9"/>
        <w:rPr>
          <w:rFonts w:ascii="Times New Roman" w:hAnsi="Times New Roman" w:eastAsia="方正黑体_GBK" w:cs="Times New Roman"/>
          <w:sz w:val="32"/>
          <w:szCs w:val="32"/>
        </w:rPr>
      </w:pPr>
    </w:p>
    <w:p w14:paraId="72F73635">
      <w:pPr>
        <w:pStyle w:val="9"/>
        <w:rPr>
          <w:rFonts w:ascii="Times New Roman" w:hAnsi="Times New Roman" w:eastAsia="方正黑体_GBK" w:cs="Times New Roman"/>
          <w:sz w:val="32"/>
          <w:szCs w:val="32"/>
        </w:rPr>
      </w:pPr>
    </w:p>
    <w:p w14:paraId="61158670">
      <w:pPr>
        <w:pStyle w:val="9"/>
        <w:rPr>
          <w:rFonts w:ascii="Times New Roman" w:hAnsi="Times New Roman" w:eastAsia="方正黑体_GBK" w:cs="Times New Roman"/>
          <w:sz w:val="32"/>
          <w:szCs w:val="32"/>
        </w:rPr>
      </w:pPr>
    </w:p>
    <w:p w14:paraId="4FA26661">
      <w:pPr>
        <w:pStyle w:val="9"/>
        <w:rPr>
          <w:rFonts w:ascii="Times New Roman" w:hAnsi="Times New Roman" w:eastAsia="方正黑体_GBK" w:cs="Times New Roman"/>
          <w:sz w:val="32"/>
          <w:szCs w:val="32"/>
        </w:rPr>
      </w:pPr>
    </w:p>
    <w:p w14:paraId="2E7C0253">
      <w:pPr>
        <w:pStyle w:val="9"/>
        <w:rPr>
          <w:rFonts w:ascii="Times New Roman" w:hAnsi="Times New Roman" w:eastAsia="方正黑体_GBK" w:cs="Times New Roman"/>
          <w:sz w:val="32"/>
          <w:szCs w:val="32"/>
        </w:rPr>
      </w:pPr>
    </w:p>
    <w:p w14:paraId="19BB41D0">
      <w:pPr>
        <w:pStyle w:val="9"/>
        <w:rPr>
          <w:rFonts w:ascii="Times New Roman" w:hAnsi="Times New Roman" w:eastAsia="方正黑体_GBK" w:cs="Times New Roman"/>
          <w:sz w:val="32"/>
          <w:szCs w:val="32"/>
        </w:rPr>
      </w:pPr>
    </w:p>
    <w:p w14:paraId="2F448D49">
      <w:pPr>
        <w:pStyle w:val="9"/>
        <w:rPr>
          <w:rFonts w:ascii="Times New Roman" w:hAnsi="Times New Roman" w:eastAsia="方正黑体_GBK" w:cs="Times New Roman"/>
          <w:sz w:val="32"/>
          <w:szCs w:val="32"/>
        </w:rPr>
      </w:pPr>
    </w:p>
    <w:p w14:paraId="6851C137">
      <w:pPr>
        <w:pStyle w:val="9"/>
        <w:rPr>
          <w:rFonts w:ascii="Times New Roman" w:hAnsi="Times New Roman" w:eastAsia="方正黑体_GBK" w:cs="Times New Roman"/>
          <w:sz w:val="32"/>
          <w:szCs w:val="32"/>
        </w:rPr>
      </w:pPr>
    </w:p>
    <w:p w14:paraId="78A3AC0E">
      <w:pPr>
        <w:pStyle w:val="9"/>
        <w:rPr>
          <w:rFonts w:ascii="Times New Roman" w:hAnsi="Times New Roman" w:eastAsia="方正黑体_GBK" w:cs="Times New Roman"/>
          <w:sz w:val="32"/>
          <w:szCs w:val="32"/>
        </w:rPr>
      </w:pPr>
    </w:p>
    <w:p w14:paraId="1D6FC34A">
      <w:pPr>
        <w:pStyle w:val="9"/>
        <w:rPr>
          <w:rFonts w:ascii="Times New Roman" w:hAnsi="Times New Roman" w:eastAsia="方正黑体_GBK" w:cs="Times New Roman"/>
          <w:sz w:val="32"/>
          <w:szCs w:val="32"/>
        </w:rPr>
      </w:pPr>
    </w:p>
    <w:p w14:paraId="685FA05D">
      <w:pPr>
        <w:pStyle w:val="9"/>
        <w:rPr>
          <w:rFonts w:ascii="Times New Roman" w:hAnsi="Times New Roman" w:eastAsia="方正黑体_GBK" w:cs="Times New Roman"/>
          <w:sz w:val="32"/>
          <w:szCs w:val="32"/>
        </w:rPr>
      </w:pPr>
    </w:p>
    <w:p w14:paraId="35CA6DFC">
      <w:pPr>
        <w:pStyle w:val="9"/>
        <w:rPr>
          <w:rFonts w:ascii="Times New Roman" w:hAnsi="Times New Roman" w:eastAsia="方正黑体_GBK" w:cs="Times New Roman"/>
          <w:sz w:val="32"/>
          <w:szCs w:val="32"/>
        </w:rPr>
      </w:pPr>
    </w:p>
    <w:p w14:paraId="0A686063">
      <w:pPr>
        <w:pStyle w:val="9"/>
        <w:rPr>
          <w:rFonts w:ascii="Times New Roman" w:hAnsi="Times New Roman" w:eastAsia="方正黑体_GBK" w:cs="Times New Roman"/>
          <w:sz w:val="32"/>
          <w:szCs w:val="32"/>
        </w:rPr>
      </w:pPr>
    </w:p>
    <w:p w14:paraId="625E3836">
      <w:pPr>
        <w:pStyle w:val="9"/>
        <w:rPr>
          <w:rFonts w:ascii="Times New Roman" w:hAnsi="Times New Roman" w:eastAsia="方正黑体_GBK" w:cs="Times New Roman"/>
          <w:sz w:val="32"/>
          <w:szCs w:val="32"/>
        </w:rPr>
      </w:pPr>
    </w:p>
    <w:p w14:paraId="1905FE50">
      <w:pPr>
        <w:pStyle w:val="9"/>
        <w:rPr>
          <w:rFonts w:ascii="Times New Roman" w:hAnsi="Times New Roman" w:eastAsia="方正黑体_GBK" w:cs="Times New Roman"/>
          <w:sz w:val="32"/>
          <w:szCs w:val="32"/>
        </w:rPr>
      </w:pPr>
    </w:p>
    <w:p w14:paraId="7C7D63C7">
      <w:pPr>
        <w:pStyle w:val="9"/>
        <w:rPr>
          <w:rFonts w:ascii="Times New Roman" w:hAnsi="Times New Roman" w:eastAsia="方正黑体_GBK" w:cs="Times New Roman"/>
          <w:sz w:val="32"/>
          <w:szCs w:val="32"/>
        </w:rPr>
      </w:pPr>
    </w:p>
    <w:p w14:paraId="1837C1E9">
      <w:pPr>
        <w:pStyle w:val="9"/>
        <w:rPr>
          <w:rFonts w:ascii="Times New Roman" w:hAnsi="Times New Roman" w:eastAsia="方正黑体_GBK" w:cs="Times New Roman"/>
          <w:sz w:val="32"/>
          <w:szCs w:val="32"/>
        </w:rPr>
      </w:pPr>
    </w:p>
    <w:p w14:paraId="20DC0A1B">
      <w:pPr>
        <w:pStyle w:val="9"/>
        <w:rPr>
          <w:rFonts w:ascii="Times New Roman" w:hAnsi="Times New Roman" w:eastAsia="方正黑体_GBK" w:cs="Times New Roman"/>
          <w:sz w:val="32"/>
          <w:szCs w:val="32"/>
        </w:rPr>
        <w:sectPr>
          <w:footerReference r:id="rId5" w:type="default"/>
          <w:pgSz w:w="11906" w:h="16838"/>
          <w:pgMar w:top="1701" w:right="1587" w:bottom="1701" w:left="1587" w:header="851" w:footer="1304" w:gutter="0"/>
          <w:pgNumType w:fmt="numberInDash"/>
          <w:cols w:space="0" w:num="1"/>
          <w:docGrid w:type="lines" w:linePitch="312" w:charSpace="0"/>
        </w:sectPr>
      </w:pPr>
    </w:p>
    <w:p w14:paraId="2524A915">
      <w:pPr>
        <w:pStyle w:val="9"/>
        <w:outlineLvl w:val="1"/>
        <w:rPr>
          <w:rFonts w:ascii="Times New Roman" w:hAnsi="Times New Roman" w:eastAsia="方正黑体_GBK" w:cs="Times New Roman"/>
          <w:sz w:val="32"/>
          <w:szCs w:val="32"/>
        </w:rPr>
      </w:pPr>
      <w:r>
        <w:rPr>
          <w:rFonts w:ascii="Times New Roman" w:hAnsi="Times New Roman" w:eastAsia="方正黑体_GBK" w:cs="Times New Roman"/>
          <w:sz w:val="32"/>
          <w:szCs w:val="32"/>
        </w:rPr>
        <w:t>附件3：</w:t>
      </w:r>
    </w:p>
    <w:p w14:paraId="789CD5D7">
      <w:pPr>
        <w:pStyle w:val="9"/>
        <w:jc w:val="center"/>
        <w:outlineLvl w:val="2"/>
        <w:rPr>
          <w:rFonts w:ascii="Times New Roman" w:hAnsi="Times New Roman" w:eastAsia="方正黑体_GBK" w:cs="Times New Roman"/>
          <w:sz w:val="36"/>
          <w:szCs w:val="36"/>
        </w:rPr>
      </w:pPr>
      <w:r>
        <w:rPr>
          <w:rFonts w:ascii="Times New Roman" w:hAnsi="Times New Roman" w:eastAsia="方正黑体_GBK" w:cs="Times New Roman"/>
          <w:sz w:val="36"/>
          <w:szCs w:val="36"/>
        </w:rPr>
        <w:t>秦淮区2023年度政府投资计划表（非城建类）</w:t>
      </w:r>
    </w:p>
    <w:tbl>
      <w:tblPr>
        <w:tblStyle w:val="12"/>
        <w:tblW w:w="0" w:type="auto"/>
        <w:jc w:val="center"/>
        <w:tblLayout w:type="fixed"/>
        <w:tblCellMar>
          <w:top w:w="0" w:type="dxa"/>
          <w:left w:w="108" w:type="dxa"/>
          <w:bottom w:w="0" w:type="dxa"/>
          <w:right w:w="108" w:type="dxa"/>
        </w:tblCellMar>
      </w:tblPr>
      <w:tblGrid>
        <w:gridCol w:w="735"/>
        <w:gridCol w:w="4396"/>
        <w:gridCol w:w="1274"/>
        <w:gridCol w:w="2340"/>
      </w:tblGrid>
      <w:tr w14:paraId="2C9FBB33">
        <w:tblPrEx>
          <w:tblCellMar>
            <w:top w:w="0" w:type="dxa"/>
            <w:left w:w="108" w:type="dxa"/>
            <w:bottom w:w="0" w:type="dxa"/>
            <w:right w:w="108" w:type="dxa"/>
          </w:tblCellMar>
        </w:tblPrEx>
        <w:trPr>
          <w:trHeight w:val="340" w:hRule="atLeast"/>
          <w:tblHeader/>
          <w:jc w:val="center"/>
        </w:trPr>
        <w:tc>
          <w:tcPr>
            <w:tcW w:w="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8DFC3F">
            <w:pPr>
              <w:widowControl/>
              <w:spacing w:line="240" w:lineRule="exact"/>
              <w:jc w:val="center"/>
              <w:textAlignment w:val="center"/>
              <w:rPr>
                <w:rFonts w:ascii="Times New Roman" w:hAnsi="Times New Roman" w:eastAsia="方正黑体_GBK" w:cs="Times New Roman"/>
                <w:color w:val="000000"/>
                <w:sz w:val="24"/>
              </w:rPr>
            </w:pPr>
            <w:r>
              <w:rPr>
                <w:rFonts w:ascii="Times New Roman" w:hAnsi="Times New Roman" w:eastAsia="方正黑体_GBK" w:cs="Times New Roman"/>
                <w:color w:val="000000"/>
                <w:kern w:val="0"/>
                <w:sz w:val="24"/>
              </w:rPr>
              <w:t>序号</w:t>
            </w:r>
          </w:p>
        </w:tc>
        <w:tc>
          <w:tcPr>
            <w:tcW w:w="4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84377">
            <w:pPr>
              <w:widowControl/>
              <w:spacing w:line="240" w:lineRule="exact"/>
              <w:jc w:val="center"/>
              <w:textAlignment w:val="center"/>
              <w:rPr>
                <w:rFonts w:ascii="Times New Roman" w:hAnsi="Times New Roman" w:eastAsia="方正黑体_GBK" w:cs="Times New Roman"/>
                <w:color w:val="000000"/>
                <w:sz w:val="24"/>
              </w:rPr>
            </w:pPr>
            <w:r>
              <w:rPr>
                <w:rFonts w:ascii="Times New Roman" w:hAnsi="Times New Roman" w:eastAsia="方正黑体_GBK" w:cs="Times New Roman"/>
                <w:color w:val="000000"/>
                <w:kern w:val="0"/>
                <w:sz w:val="24"/>
              </w:rPr>
              <w:t>项目名称</w:t>
            </w:r>
          </w:p>
        </w:tc>
        <w:tc>
          <w:tcPr>
            <w:tcW w:w="12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E73D73">
            <w:pPr>
              <w:widowControl/>
              <w:spacing w:line="240" w:lineRule="exact"/>
              <w:jc w:val="center"/>
              <w:textAlignment w:val="center"/>
              <w:rPr>
                <w:rFonts w:ascii="Times New Roman" w:hAnsi="Times New Roman" w:eastAsia="方正黑体_GBK" w:cs="Times New Roman"/>
                <w:color w:val="000000"/>
                <w:sz w:val="24"/>
              </w:rPr>
            </w:pPr>
            <w:r>
              <w:rPr>
                <w:rFonts w:ascii="Times New Roman" w:hAnsi="Times New Roman" w:eastAsia="方正黑体_GBK" w:cs="Times New Roman"/>
                <w:color w:val="000000"/>
                <w:kern w:val="0"/>
                <w:sz w:val="24"/>
              </w:rPr>
              <w:t>总投资（万元）</w:t>
            </w:r>
          </w:p>
        </w:tc>
        <w:tc>
          <w:tcPr>
            <w:tcW w:w="23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5BB227">
            <w:pPr>
              <w:widowControl/>
              <w:spacing w:line="240" w:lineRule="exact"/>
              <w:jc w:val="center"/>
              <w:textAlignment w:val="center"/>
              <w:rPr>
                <w:rFonts w:ascii="Times New Roman" w:hAnsi="Times New Roman" w:eastAsia="方正黑体_GBK" w:cs="Times New Roman"/>
                <w:color w:val="000000"/>
                <w:sz w:val="24"/>
              </w:rPr>
            </w:pPr>
            <w:r>
              <w:rPr>
                <w:rFonts w:ascii="Times New Roman" w:hAnsi="Times New Roman" w:eastAsia="方正黑体_GBK" w:cs="Times New Roman"/>
                <w:color w:val="000000"/>
                <w:kern w:val="0"/>
                <w:sz w:val="24"/>
              </w:rPr>
              <w:t>年度进度目标</w:t>
            </w:r>
          </w:p>
        </w:tc>
      </w:tr>
      <w:tr w14:paraId="65688CAE">
        <w:tblPrEx>
          <w:tblCellMar>
            <w:top w:w="0" w:type="dxa"/>
            <w:left w:w="108" w:type="dxa"/>
            <w:bottom w:w="0" w:type="dxa"/>
            <w:right w:w="108" w:type="dxa"/>
          </w:tblCellMar>
        </w:tblPrEx>
        <w:trPr>
          <w:trHeight w:val="312" w:hRule="atLeast"/>
          <w:tblHeader/>
          <w:jc w:val="center"/>
        </w:trPr>
        <w:tc>
          <w:tcPr>
            <w:tcW w:w="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C40DE">
            <w:pPr>
              <w:widowControl/>
              <w:spacing w:line="240" w:lineRule="exact"/>
              <w:jc w:val="center"/>
              <w:rPr>
                <w:rFonts w:ascii="Times New Roman" w:hAnsi="Times New Roman" w:eastAsia="方正仿宋_GBK" w:cs="Times New Roman"/>
                <w:color w:val="000000"/>
                <w:sz w:val="24"/>
              </w:rPr>
            </w:pPr>
          </w:p>
        </w:tc>
        <w:tc>
          <w:tcPr>
            <w:tcW w:w="4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246B2">
            <w:pPr>
              <w:widowControl/>
              <w:spacing w:line="240" w:lineRule="exact"/>
              <w:jc w:val="left"/>
              <w:rPr>
                <w:rFonts w:ascii="Times New Roman" w:hAnsi="Times New Roman" w:eastAsia="方正仿宋_GBK" w:cs="Times New Roman"/>
                <w:color w:val="000000"/>
                <w:sz w:val="24"/>
              </w:rPr>
            </w:pPr>
          </w:p>
        </w:tc>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DCBCA">
            <w:pPr>
              <w:widowControl/>
              <w:spacing w:line="240" w:lineRule="exact"/>
              <w:jc w:val="center"/>
              <w:rPr>
                <w:rFonts w:ascii="Times New Roman" w:hAnsi="Times New Roman" w:eastAsia="方正仿宋_GBK" w:cs="Times New Roman"/>
                <w:color w:val="000000"/>
                <w:sz w:val="24"/>
              </w:rPr>
            </w:pPr>
          </w:p>
        </w:tc>
        <w:tc>
          <w:tcPr>
            <w:tcW w:w="23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E0A74">
            <w:pPr>
              <w:widowControl/>
              <w:spacing w:line="240" w:lineRule="exact"/>
              <w:jc w:val="center"/>
              <w:rPr>
                <w:rFonts w:ascii="Times New Roman" w:hAnsi="Times New Roman" w:eastAsia="方正仿宋_GBK" w:cs="Times New Roman"/>
                <w:color w:val="000000"/>
                <w:sz w:val="24"/>
              </w:rPr>
            </w:pPr>
          </w:p>
        </w:tc>
      </w:tr>
      <w:tr w14:paraId="35E4697A">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ACCA">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1</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1942">
            <w:pPr>
              <w:widowControl/>
              <w:spacing w:line="24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小西湖小学分校扩建工程</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47E7">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3500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40FC2">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完成70%</w:t>
            </w:r>
          </w:p>
        </w:tc>
      </w:tr>
      <w:tr w14:paraId="27E575B5">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AE56">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2</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19D45">
            <w:pPr>
              <w:widowControl/>
              <w:spacing w:line="24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第一幼儿园（小班楼）加固改造工程</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7C3F1">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1250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27F8">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w:t>
            </w:r>
          </w:p>
        </w:tc>
      </w:tr>
      <w:tr w14:paraId="57929FE2">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F04B">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3</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FF66B">
            <w:pPr>
              <w:widowControl/>
              <w:spacing w:line="24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第五高级中学（</w:t>
            </w:r>
            <w:r>
              <w:rPr>
                <w:rStyle w:val="42"/>
                <w:rFonts w:eastAsia="方正仿宋_GBK"/>
                <w:b w:val="0"/>
                <w:bCs w:val="0"/>
                <w:sz w:val="24"/>
                <w:szCs w:val="24"/>
              </w:rPr>
              <w:t>5</w:t>
            </w:r>
            <w:r>
              <w:rPr>
                <w:rFonts w:ascii="Times New Roman" w:hAnsi="Times New Roman" w:eastAsia="方正仿宋_GBK" w:cs="Times New Roman"/>
                <w:color w:val="000000"/>
                <w:kern w:val="0"/>
                <w:sz w:val="24"/>
              </w:rPr>
              <w:t>号楼）加固改造工程</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2CED4">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1360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9CDD">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完成70%</w:t>
            </w:r>
          </w:p>
        </w:tc>
      </w:tr>
      <w:tr w14:paraId="7A57BD05">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31A4">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E29E1">
            <w:pPr>
              <w:widowControl/>
              <w:spacing w:line="240" w:lineRule="exact"/>
              <w:jc w:val="left"/>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朝天宫社区卫生服务中心回迁改造工程</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58409">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1340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F0F2">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完成60%</w:t>
            </w:r>
          </w:p>
        </w:tc>
      </w:tr>
      <w:tr w14:paraId="687A5585">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3C4D4">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0CEF8">
            <w:pPr>
              <w:widowControl/>
              <w:spacing w:line="240" w:lineRule="exact"/>
              <w:jc w:val="left"/>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红十字医院ICU病房建设工程</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1E387">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450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0A27">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完成</w:t>
            </w:r>
          </w:p>
        </w:tc>
      </w:tr>
      <w:tr w14:paraId="364DDD46">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A1F9">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6</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85E1">
            <w:pPr>
              <w:widowControl/>
              <w:spacing w:line="24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月牙湖体育中心消防消险与维修工程</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8F1EE">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150.83</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A671">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w:t>
            </w:r>
          </w:p>
        </w:tc>
      </w:tr>
      <w:tr w14:paraId="22D8AA48">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906C">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7</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77FB">
            <w:pPr>
              <w:widowControl/>
              <w:spacing w:line="240" w:lineRule="exact"/>
              <w:jc w:val="left"/>
              <w:textAlignment w:val="center"/>
              <w:rPr>
                <w:rFonts w:ascii="Times New Roman" w:hAnsi="Times New Roman" w:eastAsia="方正仿宋_GBK" w:cs="Times New Roman"/>
                <w:color w:val="000000"/>
                <w:sz w:val="24"/>
              </w:rPr>
            </w:pPr>
            <w:r>
              <w:rPr>
                <w:rStyle w:val="44"/>
                <w:rFonts w:ascii="Times New Roman" w:hAnsi="Times New Roman" w:eastAsia="方正仿宋_GBK" w:cs="Times New Roman"/>
                <w:sz w:val="24"/>
                <w:szCs w:val="24"/>
              </w:rPr>
              <w:t>路子铺</w:t>
            </w:r>
            <w:r>
              <w:rPr>
                <w:rFonts w:ascii="Times New Roman" w:hAnsi="Times New Roman" w:eastAsia="方正仿宋_GBK" w:cs="Times New Roman"/>
                <w:color w:val="000000"/>
                <w:kern w:val="0"/>
                <w:sz w:val="24"/>
              </w:rPr>
              <w:t>21</w:t>
            </w:r>
            <w:r>
              <w:rPr>
                <w:rStyle w:val="44"/>
                <w:rFonts w:ascii="Times New Roman" w:hAnsi="Times New Roman" w:eastAsia="方正仿宋_GBK" w:cs="Times New Roman"/>
                <w:sz w:val="24"/>
                <w:szCs w:val="24"/>
              </w:rPr>
              <w:t>号西侧执法保障用房维修加固工程</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B834A">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150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CA16">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w:t>
            </w:r>
          </w:p>
        </w:tc>
      </w:tr>
      <w:tr w14:paraId="3954215D">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DCCF">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8</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5C337">
            <w:pPr>
              <w:widowControl/>
              <w:spacing w:line="24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党校学员宿舍修缮改造工程</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23DDB">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85.65</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5F1E">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w:t>
            </w:r>
          </w:p>
        </w:tc>
      </w:tr>
      <w:tr w14:paraId="4BC3DE36">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0875D">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9</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A9DD">
            <w:pPr>
              <w:widowControl/>
              <w:spacing w:line="240" w:lineRule="exact"/>
              <w:jc w:val="left"/>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全区基层医疗信息系统建设项目</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44A3">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1200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90CA">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完成</w:t>
            </w:r>
          </w:p>
        </w:tc>
      </w:tr>
      <w:tr w14:paraId="080E830C">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DACE">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10</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159A">
            <w:pPr>
              <w:widowControl/>
              <w:spacing w:line="24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“一网统管”平台二期开发项目</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EEAE">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490.1</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1F70">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基本完成除数据中台外其余功能建设</w:t>
            </w:r>
          </w:p>
        </w:tc>
      </w:tr>
      <w:tr w14:paraId="6644F6E1">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569DB">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11</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41D8">
            <w:pPr>
              <w:widowControl/>
              <w:spacing w:line="24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区人民武装部信息化改造项目</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E11B7">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160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85C59">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w:t>
            </w:r>
          </w:p>
        </w:tc>
      </w:tr>
      <w:tr w14:paraId="5A87D87F">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CDDD">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12</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34C2">
            <w:pPr>
              <w:widowControl/>
              <w:spacing w:line="24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“南京市党员干部现代远程教育”终端点扩建项目</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20DD">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80</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EF41">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w:t>
            </w:r>
          </w:p>
        </w:tc>
      </w:tr>
      <w:tr w14:paraId="7812580D">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C4330">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13</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B10D">
            <w:pPr>
              <w:widowControl/>
              <w:spacing w:line="24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数字档案综合管理平台升级项目</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6A7D">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53</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789A3">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w:t>
            </w:r>
          </w:p>
        </w:tc>
      </w:tr>
      <w:tr w14:paraId="5E5C9B8A">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AF2BD">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14</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D728">
            <w:pPr>
              <w:widowControl/>
              <w:spacing w:line="24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档案数据容灾备份管理系统升级项目</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FEB0E">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51</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994E">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w:t>
            </w:r>
          </w:p>
        </w:tc>
      </w:tr>
      <w:tr w14:paraId="7325ADBF">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0188">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15</w:t>
            </w: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13C9">
            <w:pPr>
              <w:widowControl/>
              <w:spacing w:line="240" w:lineRule="exact"/>
              <w:jc w:val="left"/>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省</w:t>
            </w:r>
            <w:r>
              <w:rPr>
                <w:rStyle w:val="42"/>
                <w:rFonts w:eastAsia="方正仿宋_GBK"/>
                <w:b w:val="0"/>
                <w:bCs w:val="0"/>
                <w:sz w:val="24"/>
                <w:szCs w:val="24"/>
              </w:rPr>
              <w:t>“</w:t>
            </w:r>
            <w:r>
              <w:rPr>
                <w:rFonts w:ascii="Times New Roman" w:hAnsi="Times New Roman" w:eastAsia="方正仿宋_GBK" w:cs="Times New Roman"/>
                <w:color w:val="000000"/>
                <w:kern w:val="0"/>
                <w:sz w:val="24"/>
              </w:rPr>
              <w:t>数字人大</w:t>
            </w:r>
            <w:r>
              <w:rPr>
                <w:rStyle w:val="42"/>
                <w:rFonts w:eastAsia="方正仿宋_GBK"/>
                <w:b w:val="0"/>
                <w:bCs w:val="0"/>
                <w:sz w:val="24"/>
                <w:szCs w:val="24"/>
              </w:rPr>
              <w:t>”</w:t>
            </w:r>
            <w:r>
              <w:rPr>
                <w:rFonts w:ascii="Times New Roman" w:hAnsi="Times New Roman" w:eastAsia="方正仿宋_GBK" w:cs="Times New Roman"/>
                <w:color w:val="000000"/>
                <w:kern w:val="0"/>
                <w:sz w:val="24"/>
              </w:rPr>
              <w:t>秦淮区配套建设项目</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5CFE1">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15</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248A">
            <w:pPr>
              <w:widowControl/>
              <w:spacing w:line="240" w:lineRule="exact"/>
              <w:jc w:val="center"/>
              <w:textAlignment w:val="center"/>
              <w:rPr>
                <w:rFonts w:ascii="Times New Roman" w:hAnsi="Times New Roman" w:eastAsia="方正仿宋_GBK" w:cs="Times New Roman"/>
                <w:color w:val="000000"/>
                <w:sz w:val="24"/>
              </w:rPr>
            </w:pPr>
            <w:r>
              <w:rPr>
                <w:rFonts w:ascii="Times New Roman" w:hAnsi="Times New Roman" w:eastAsia="方正仿宋_GBK" w:cs="Times New Roman"/>
                <w:color w:val="000000"/>
                <w:kern w:val="0"/>
                <w:sz w:val="24"/>
              </w:rPr>
              <w:t>完成</w:t>
            </w:r>
          </w:p>
        </w:tc>
      </w:tr>
      <w:tr w14:paraId="2F960576">
        <w:tblPrEx>
          <w:tblCellMar>
            <w:top w:w="0" w:type="dxa"/>
            <w:left w:w="108" w:type="dxa"/>
            <w:bottom w:w="0" w:type="dxa"/>
            <w:right w:w="108" w:type="dxa"/>
          </w:tblCellMar>
        </w:tblPrEx>
        <w:trPr>
          <w:trHeight w:val="575" w:hRule="atLeast"/>
          <w:jc w:val="center"/>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DC42">
            <w:pPr>
              <w:widowControl/>
              <w:spacing w:line="240" w:lineRule="exact"/>
              <w:jc w:val="center"/>
              <w:textAlignment w:val="center"/>
              <w:rPr>
                <w:rFonts w:ascii="Times New Roman" w:hAnsi="Times New Roman" w:eastAsia="方正仿宋_GBK" w:cs="Times New Roman"/>
                <w:color w:val="000000"/>
                <w:kern w:val="0"/>
                <w:sz w:val="24"/>
              </w:rPr>
            </w:pPr>
          </w:p>
        </w:tc>
        <w:tc>
          <w:tcPr>
            <w:tcW w:w="4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9A0F">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b/>
                <w:bCs/>
                <w:color w:val="000000"/>
                <w:kern w:val="0"/>
                <w:sz w:val="24"/>
              </w:rPr>
              <w:t>合  计</w:t>
            </w:r>
          </w:p>
        </w:tc>
        <w:tc>
          <w:tcPr>
            <w:tcW w:w="12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A972">
            <w:pPr>
              <w:widowControl/>
              <w:spacing w:line="240" w:lineRule="exact"/>
              <w:jc w:val="center"/>
              <w:textAlignment w:val="center"/>
              <w:rPr>
                <w:rFonts w:ascii="Times New Roman" w:hAnsi="Times New Roman" w:eastAsia="方正仿宋_GBK" w:cs="Times New Roman"/>
                <w:color w:val="000000"/>
                <w:kern w:val="0"/>
                <w:sz w:val="24"/>
              </w:rPr>
            </w:pPr>
            <w:r>
              <w:rPr>
                <w:rFonts w:ascii="Times New Roman" w:hAnsi="Times New Roman" w:eastAsia="方正仿宋_GBK" w:cs="Times New Roman"/>
                <w:color w:val="000000"/>
                <w:kern w:val="0"/>
                <w:sz w:val="24"/>
              </w:rPr>
              <w:t>10335.58</w:t>
            </w:r>
          </w:p>
        </w:tc>
        <w:tc>
          <w:tcPr>
            <w:tcW w:w="23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135C">
            <w:pPr>
              <w:widowControl/>
              <w:spacing w:line="240" w:lineRule="exact"/>
              <w:jc w:val="center"/>
              <w:textAlignment w:val="center"/>
              <w:rPr>
                <w:rFonts w:ascii="Times New Roman" w:hAnsi="Times New Roman" w:eastAsia="方正仿宋_GBK" w:cs="Times New Roman"/>
                <w:color w:val="000000"/>
                <w:kern w:val="0"/>
                <w:sz w:val="24"/>
              </w:rPr>
            </w:pPr>
          </w:p>
        </w:tc>
      </w:tr>
    </w:tbl>
    <w:p w14:paraId="5ACCE8A3">
      <w:pPr>
        <w:pStyle w:val="9"/>
        <w:snapToGrid/>
        <w:spacing w:line="520" w:lineRule="exact"/>
        <w:jc w:val="both"/>
        <w:rPr>
          <w:rFonts w:ascii="Times New Roman" w:hAnsi="Times New Roman" w:eastAsia="方正仿宋_GBK" w:cs="Times New Roman"/>
          <w:bCs/>
          <w:sz w:val="32"/>
          <w:szCs w:val="32"/>
        </w:rPr>
      </w:pPr>
    </w:p>
    <w:sectPr>
      <w:pgSz w:w="11906" w:h="16838"/>
      <w:pgMar w:top="1701" w:right="1587" w:bottom="1701" w:left="1587" w:header="851" w:footer="1304"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1FB42">
    <w:pPr>
      <w:pStyle w:val="9"/>
    </w:pPr>
    <w:r>
      <mc:AlternateContent>
        <mc:Choice Requires="wps">
          <w:drawing>
            <wp:anchor distT="0" distB="0" distL="114300" distR="114300" simplePos="0" relativeHeight="251799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E62E500">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- 1 -</w:t>
                          </w:r>
                          <w:r>
                            <w:rPr>
                              <w:rFonts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99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6E62E500">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- 1 -</w:t>
                    </w:r>
                    <w:r>
                      <w:rPr>
                        <w:rFonts w:ascii="Times New Roman" w:hAnsi="Times New Roman" w:cs="Times New Roman"/>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D9338">
    <w:pPr>
      <w:pStyle w:val="9"/>
    </w:pPr>
    <w:r>
      <mc:AlternateContent>
        <mc:Choice Requires="wps">
          <w:drawing>
            <wp:anchor distT="0" distB="0" distL="114300" distR="114300" simplePos="0" relativeHeight="251800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0FA5E61">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- 34 -</w:t>
                          </w:r>
                          <w:r>
                            <w:rPr>
                              <w:rFonts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800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60FA5E61">
                    <w:pPr>
                      <w:pStyle w:val="9"/>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- 34 -</w:t>
                    </w:r>
                    <w:r>
                      <w:rPr>
                        <w:rFonts w:ascii="Times New Roman" w:hAnsi="Times New Roman" w:cs="Times New Roman"/>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r>
        <w:separator/>
      </w:r>
    </w:p>
  </w:footnote>
  <w:footnote w:type="continuationSeparator" w:id="15">
    <w:p>
      <w:r>
        <w:continuationSeparator/>
      </w:r>
    </w:p>
  </w:footnote>
  <w:footnote w:id="0">
    <w:p w14:paraId="365649C7">
      <w:pPr>
        <w:pStyle w:val="11"/>
      </w:pPr>
      <w:r>
        <w:rPr>
          <w:rStyle w:val="16"/>
        </w:rPr>
        <w:footnoteRef/>
      </w:r>
      <w:r>
        <w:t xml:space="preserve"> </w:t>
      </w:r>
      <w:r>
        <w:rPr>
          <w:rFonts w:hint="eastAsia" w:ascii="宋体" w:hAnsi="宋体"/>
        </w:rPr>
        <w:t>《小康》杂志社2022年评比</w:t>
      </w:r>
    </w:p>
  </w:footnote>
  <w:footnote w:id="1">
    <w:p w14:paraId="3453C388">
      <w:pPr>
        <w:pStyle w:val="11"/>
        <w:spacing w:line="300" w:lineRule="exact"/>
      </w:pPr>
      <w:r>
        <w:rPr>
          <w:rStyle w:val="16"/>
        </w:rPr>
        <w:footnoteRef/>
      </w:r>
      <w:r>
        <w:t xml:space="preserve"> </w:t>
      </w:r>
      <w:r>
        <w:rPr>
          <w:rFonts w:ascii="宋体" w:hAnsi="宋体"/>
        </w:rPr>
        <w:t>AEO是Authorized Economic Operator的简称，是指以任何一种方式参与货物国际流通，符合海关总署规定标准的企业</w:t>
      </w:r>
      <w:r>
        <w:rPr>
          <w:rFonts w:hint="eastAsia" w:ascii="宋体" w:hAnsi="宋体"/>
        </w:rPr>
        <w:t>，</w:t>
      </w:r>
      <w:r>
        <w:rPr>
          <w:rFonts w:ascii="宋体" w:hAnsi="宋体"/>
        </w:rPr>
        <w:t>AEO制度是世界海关组织《全球贸易安全与便利标准框架》中的核心制度</w:t>
      </w:r>
      <w:r>
        <w:rPr>
          <w:rFonts w:hint="eastAsia" w:ascii="宋体" w:hAnsi="宋体"/>
        </w:rPr>
        <w:t>。</w:t>
      </w:r>
    </w:p>
  </w:footnote>
  <w:footnote w:id="2">
    <w:p w14:paraId="67B66873">
      <w:pPr>
        <w:pStyle w:val="11"/>
        <w:spacing w:line="300" w:lineRule="exact"/>
        <w:rPr>
          <w:rFonts w:ascii="宋体" w:hAnsi="宋体"/>
        </w:rPr>
      </w:pPr>
      <w:r>
        <w:rPr>
          <w:rStyle w:val="16"/>
          <w:rFonts w:ascii="Times New Roman" w:hAnsi="Times New Roman"/>
          <w:spacing w:val="-16"/>
        </w:rPr>
        <w:footnoteRef/>
      </w:r>
      <w:r>
        <w:rPr>
          <w:rFonts w:ascii="宋体" w:hAnsi="宋体"/>
        </w:rPr>
        <w:t>石榴新村等11个市、区城市更新项目，黑廊巷等3个综合更新前期研究项目，钟英中学等13个校舍更新项目</w:t>
      </w:r>
      <w:r>
        <w:rPr>
          <w:rFonts w:hint="eastAsia" w:ascii="宋体" w:hAnsi="宋体"/>
        </w:rPr>
        <w:t>，1个</w:t>
      </w:r>
      <w:r>
        <w:rPr>
          <w:rFonts w:ascii="宋体" w:hAnsi="宋体"/>
        </w:rPr>
        <w:t>2022年度老旧小区改造项目包</w:t>
      </w:r>
    </w:p>
  </w:footnote>
  <w:footnote w:id="3">
    <w:p w14:paraId="20F9A742">
      <w:pPr>
        <w:pStyle w:val="11"/>
      </w:pPr>
      <w:r>
        <w:rPr>
          <w:rStyle w:val="16"/>
        </w:rPr>
        <w:footnoteRef/>
      </w:r>
      <w:r>
        <w:t xml:space="preserve"> </w:t>
      </w:r>
      <w:r>
        <w:rPr>
          <w:rFonts w:hint="eastAsia"/>
        </w:rPr>
        <w:t>即现代金融服务、高端商务商贸、文化旅游、软件和信息服务等4个支柱产业+物联网、车联网、人工智能、大健康等4个新兴产业</w:t>
      </w:r>
    </w:p>
  </w:footnote>
  <w:footnote w:id="4">
    <w:p w14:paraId="24ACF805">
      <w:pPr>
        <w:pStyle w:val="11"/>
      </w:pPr>
      <w:r>
        <w:rPr>
          <w:rStyle w:val="16"/>
        </w:rPr>
        <w:footnoteRef/>
      </w:r>
      <w:r>
        <w:t xml:space="preserve"> </w:t>
      </w:r>
      <w:r>
        <w:rPr>
          <w:rFonts w:ascii="宋体" w:hAnsi="宋体"/>
        </w:rPr>
        <w:t>博联体产业咨询专家库、博联体产业创新孵化中心</w:t>
      </w:r>
    </w:p>
  </w:footnote>
  <w:footnote w:id="5">
    <w:p w14:paraId="64253D31">
      <w:pPr>
        <w:pStyle w:val="11"/>
        <w:spacing w:line="300" w:lineRule="exact"/>
        <w:rPr>
          <w:rFonts w:ascii="宋体" w:hAnsi="宋体"/>
        </w:rPr>
      </w:pPr>
      <w:r>
        <w:rPr>
          <w:rStyle w:val="16"/>
        </w:rPr>
        <w:footnoteRef/>
      </w:r>
      <w:r>
        <w:t xml:space="preserve"> </w:t>
      </w:r>
      <w:r>
        <w:rPr>
          <w:rFonts w:ascii="宋体" w:hAnsi="宋体"/>
        </w:rPr>
        <w:t xml:space="preserve">（1） </w:t>
      </w:r>
      <w:r>
        <w:rPr>
          <w:rFonts w:hint="eastAsia" w:ascii="宋体" w:hAnsi="宋体"/>
        </w:rPr>
        <w:t>2023年计划安排新项目2个：宁芜铁路扩能改造工程、丰富路变电站部分拆除工程。</w:t>
      </w:r>
    </w:p>
    <w:p w14:paraId="0941D3E8">
      <w:pPr>
        <w:pStyle w:val="11"/>
        <w:spacing w:line="300" w:lineRule="exact"/>
      </w:pPr>
      <w:r>
        <w:rPr>
          <w:rFonts w:hint="eastAsia" w:ascii="宋体" w:hAnsi="宋体"/>
        </w:rPr>
        <w:t>（2）2022年及之前扫尾项目13个：南捕厅地块、地铁6号线（光华门站）、地铁6号线（中和桥站）环境整治（1号地块）、门东东延周边环境整治工程、西白菜园地块改造项目、小西湖地块（一期、二期、六期）、洪家园片区、创意东八区一期（世界之窗产业园）、大光路与解放路交叉口地块、象房南村棚户区改造、晨光医院。</w:t>
      </w:r>
      <w:r>
        <w:rPr>
          <w:rFonts w:ascii="宋体" w:hAnsi="宋体"/>
        </w:rPr>
        <w:t>地铁6号线（中和桥站）环境整治（2号地块）、地铁6号线（中和桥站）环境整治（1号地块）、门东东延周边环境整治工程、小心桥东街南、门西整体扫尾项目、西白菜园地块改造项目、小西湖地块（一期、二期）、洪家园片区、创意东八区一期（世界之窗产业园）、小天堂地区城市综合更新项目（一期）</w:t>
      </w:r>
    </w:p>
  </w:footnote>
  <w:footnote w:id="6">
    <w:p w14:paraId="4CD4A55F">
      <w:pPr>
        <w:pStyle w:val="11"/>
        <w:spacing w:line="300" w:lineRule="exact"/>
      </w:pPr>
      <w:r>
        <w:rPr>
          <w:rStyle w:val="16"/>
        </w:rPr>
        <w:footnoteRef/>
      </w:r>
      <w:r>
        <w:t xml:space="preserve"> </w:t>
      </w:r>
      <w:r>
        <w:rPr>
          <w:rFonts w:hint="eastAsia" w:ascii="宋体" w:hAnsi="宋体"/>
        </w:rPr>
        <w:t>“四标”是指标准地址、标准作业图、标准建筑物编码、标准基础网格；“四实”是指实有人口、实有房屋、实有单位、实有设施</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90CA9B"/>
    <w:multiLevelType w:val="singleLevel"/>
    <w:tmpl w:val="C090CA9B"/>
    <w:lvl w:ilvl="0" w:tentative="0">
      <w:start w:val="1"/>
      <w:numFmt w:val="bullet"/>
      <w:pStyle w:val="17"/>
      <w:lvlText w:val=""/>
      <w:lvlJc w:val="left"/>
      <w:pPr>
        <w:ind w:left="420" w:hanging="420"/>
      </w:pPr>
      <w:rPr>
        <w:rFonts w:hint="default" w:ascii="Wingdings" w:hAnsi="Wingdings" w:eastAsia="方正仿宋_GBK"/>
      </w:rPr>
    </w:lvl>
  </w:abstractNum>
  <w:abstractNum w:abstractNumId="1">
    <w:nsid w:val="5B7B3803"/>
    <w:multiLevelType w:val="singleLevel"/>
    <w:tmpl w:val="5B7B3803"/>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footnotePr>
    <w:footnote w:id="14"/>
    <w:footnote w:id="15"/>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lNGYyNTk5YTBiYzJhM2EyMTExMTUxY2FmZTI1ZGUifQ=="/>
  </w:docVars>
  <w:rsids>
    <w:rsidRoot w:val="0C3A6DD0"/>
    <w:rsid w:val="0000226F"/>
    <w:rsid w:val="00031B9F"/>
    <w:rsid w:val="00034F93"/>
    <w:rsid w:val="00045EF9"/>
    <w:rsid w:val="00052901"/>
    <w:rsid w:val="000D47AF"/>
    <w:rsid w:val="000F7FD3"/>
    <w:rsid w:val="00157C2C"/>
    <w:rsid w:val="00172079"/>
    <w:rsid w:val="00186B95"/>
    <w:rsid w:val="00194FC4"/>
    <w:rsid w:val="001B6B8A"/>
    <w:rsid w:val="001C7522"/>
    <w:rsid w:val="001D27A4"/>
    <w:rsid w:val="001E410C"/>
    <w:rsid w:val="001E67D4"/>
    <w:rsid w:val="002057E1"/>
    <w:rsid w:val="00223B87"/>
    <w:rsid w:val="00256317"/>
    <w:rsid w:val="002623AB"/>
    <w:rsid w:val="0026389F"/>
    <w:rsid w:val="00273722"/>
    <w:rsid w:val="002B779C"/>
    <w:rsid w:val="002C7572"/>
    <w:rsid w:val="002D073E"/>
    <w:rsid w:val="002D1477"/>
    <w:rsid w:val="002E3307"/>
    <w:rsid w:val="002F6F14"/>
    <w:rsid w:val="00302D5D"/>
    <w:rsid w:val="00316831"/>
    <w:rsid w:val="0032703B"/>
    <w:rsid w:val="00330FB2"/>
    <w:rsid w:val="003539F1"/>
    <w:rsid w:val="003732A1"/>
    <w:rsid w:val="0037560D"/>
    <w:rsid w:val="003B5326"/>
    <w:rsid w:val="003B59D4"/>
    <w:rsid w:val="003C44CB"/>
    <w:rsid w:val="003C5A8E"/>
    <w:rsid w:val="003D0EF2"/>
    <w:rsid w:val="003D5BFE"/>
    <w:rsid w:val="003E7765"/>
    <w:rsid w:val="00421F1B"/>
    <w:rsid w:val="00442C36"/>
    <w:rsid w:val="00442C3B"/>
    <w:rsid w:val="00475FE5"/>
    <w:rsid w:val="00495EFB"/>
    <w:rsid w:val="004E150F"/>
    <w:rsid w:val="004F53EB"/>
    <w:rsid w:val="00504271"/>
    <w:rsid w:val="0051395D"/>
    <w:rsid w:val="00542BE8"/>
    <w:rsid w:val="005458C7"/>
    <w:rsid w:val="00551631"/>
    <w:rsid w:val="005638A1"/>
    <w:rsid w:val="00571FF2"/>
    <w:rsid w:val="005C455F"/>
    <w:rsid w:val="005D0A10"/>
    <w:rsid w:val="005E7160"/>
    <w:rsid w:val="005F29B0"/>
    <w:rsid w:val="00602787"/>
    <w:rsid w:val="00606015"/>
    <w:rsid w:val="00613C65"/>
    <w:rsid w:val="00646245"/>
    <w:rsid w:val="00646ED8"/>
    <w:rsid w:val="006524BE"/>
    <w:rsid w:val="0067789B"/>
    <w:rsid w:val="006A2A5E"/>
    <w:rsid w:val="006A3871"/>
    <w:rsid w:val="006B25AC"/>
    <w:rsid w:val="006C1ECD"/>
    <w:rsid w:val="006E48E4"/>
    <w:rsid w:val="006F21D5"/>
    <w:rsid w:val="007020F1"/>
    <w:rsid w:val="00704B4C"/>
    <w:rsid w:val="00714999"/>
    <w:rsid w:val="00717305"/>
    <w:rsid w:val="007273DE"/>
    <w:rsid w:val="00740CDE"/>
    <w:rsid w:val="007452C1"/>
    <w:rsid w:val="0074736F"/>
    <w:rsid w:val="007728CE"/>
    <w:rsid w:val="00777D07"/>
    <w:rsid w:val="00780C29"/>
    <w:rsid w:val="00787DD2"/>
    <w:rsid w:val="00793A3A"/>
    <w:rsid w:val="007D55F8"/>
    <w:rsid w:val="007F1152"/>
    <w:rsid w:val="007F729E"/>
    <w:rsid w:val="00824ED4"/>
    <w:rsid w:val="00826EE1"/>
    <w:rsid w:val="00832D17"/>
    <w:rsid w:val="0083603F"/>
    <w:rsid w:val="00847719"/>
    <w:rsid w:val="0086515A"/>
    <w:rsid w:val="008A175E"/>
    <w:rsid w:val="008A31E2"/>
    <w:rsid w:val="008B74C4"/>
    <w:rsid w:val="008C332E"/>
    <w:rsid w:val="008D17AB"/>
    <w:rsid w:val="008F09D0"/>
    <w:rsid w:val="008F4E8B"/>
    <w:rsid w:val="008F6978"/>
    <w:rsid w:val="009156BF"/>
    <w:rsid w:val="00916AC8"/>
    <w:rsid w:val="009243A1"/>
    <w:rsid w:val="009320E8"/>
    <w:rsid w:val="0094333B"/>
    <w:rsid w:val="00957E26"/>
    <w:rsid w:val="009751B2"/>
    <w:rsid w:val="00980CC1"/>
    <w:rsid w:val="00991ADF"/>
    <w:rsid w:val="00992033"/>
    <w:rsid w:val="00994BCF"/>
    <w:rsid w:val="00996B14"/>
    <w:rsid w:val="009A3BD4"/>
    <w:rsid w:val="009C5820"/>
    <w:rsid w:val="009E65F2"/>
    <w:rsid w:val="00A17DF2"/>
    <w:rsid w:val="00A47200"/>
    <w:rsid w:val="00A60959"/>
    <w:rsid w:val="00A654B2"/>
    <w:rsid w:val="00A715AA"/>
    <w:rsid w:val="00A810E8"/>
    <w:rsid w:val="00A82C89"/>
    <w:rsid w:val="00A90658"/>
    <w:rsid w:val="00AA0B9A"/>
    <w:rsid w:val="00AB38AE"/>
    <w:rsid w:val="00B3400B"/>
    <w:rsid w:val="00B46F4B"/>
    <w:rsid w:val="00B52DF4"/>
    <w:rsid w:val="00B62F93"/>
    <w:rsid w:val="00B724CD"/>
    <w:rsid w:val="00B91426"/>
    <w:rsid w:val="00BC44FE"/>
    <w:rsid w:val="00BF7048"/>
    <w:rsid w:val="00C04994"/>
    <w:rsid w:val="00C057D6"/>
    <w:rsid w:val="00C1606A"/>
    <w:rsid w:val="00C16113"/>
    <w:rsid w:val="00C3733C"/>
    <w:rsid w:val="00C43D69"/>
    <w:rsid w:val="00C452F9"/>
    <w:rsid w:val="00C477CD"/>
    <w:rsid w:val="00C51970"/>
    <w:rsid w:val="00C73371"/>
    <w:rsid w:val="00C831F6"/>
    <w:rsid w:val="00C842EC"/>
    <w:rsid w:val="00C844F6"/>
    <w:rsid w:val="00C90EA9"/>
    <w:rsid w:val="00CA389E"/>
    <w:rsid w:val="00CD5C17"/>
    <w:rsid w:val="00D05821"/>
    <w:rsid w:val="00D2681A"/>
    <w:rsid w:val="00D33B31"/>
    <w:rsid w:val="00D462C0"/>
    <w:rsid w:val="00D46B25"/>
    <w:rsid w:val="00D6197E"/>
    <w:rsid w:val="00D76038"/>
    <w:rsid w:val="00D8680B"/>
    <w:rsid w:val="00D90F75"/>
    <w:rsid w:val="00DA01CA"/>
    <w:rsid w:val="00DA1072"/>
    <w:rsid w:val="00DA695F"/>
    <w:rsid w:val="00DA6F53"/>
    <w:rsid w:val="00DB47F4"/>
    <w:rsid w:val="00DC5B07"/>
    <w:rsid w:val="00DD1C46"/>
    <w:rsid w:val="00DD7AC9"/>
    <w:rsid w:val="00DE6ADD"/>
    <w:rsid w:val="00DF5661"/>
    <w:rsid w:val="00DF65E1"/>
    <w:rsid w:val="00E07FEA"/>
    <w:rsid w:val="00E14EAA"/>
    <w:rsid w:val="00E1785E"/>
    <w:rsid w:val="00E221AF"/>
    <w:rsid w:val="00E423AE"/>
    <w:rsid w:val="00E62D03"/>
    <w:rsid w:val="00E674E3"/>
    <w:rsid w:val="00E67523"/>
    <w:rsid w:val="00EC0DF9"/>
    <w:rsid w:val="00EC1132"/>
    <w:rsid w:val="00EE67FC"/>
    <w:rsid w:val="00F11F6E"/>
    <w:rsid w:val="00F2540B"/>
    <w:rsid w:val="00F4524D"/>
    <w:rsid w:val="00F527D7"/>
    <w:rsid w:val="00F609B3"/>
    <w:rsid w:val="00F63837"/>
    <w:rsid w:val="00F835BA"/>
    <w:rsid w:val="00F83F3C"/>
    <w:rsid w:val="00F85E11"/>
    <w:rsid w:val="00F944B4"/>
    <w:rsid w:val="00F97D8D"/>
    <w:rsid w:val="00FB62F5"/>
    <w:rsid w:val="00FB6997"/>
    <w:rsid w:val="013A7655"/>
    <w:rsid w:val="01B10923"/>
    <w:rsid w:val="020F1856"/>
    <w:rsid w:val="026717A1"/>
    <w:rsid w:val="044A739A"/>
    <w:rsid w:val="049B394B"/>
    <w:rsid w:val="04C2712A"/>
    <w:rsid w:val="04CA3E74"/>
    <w:rsid w:val="04CC58A2"/>
    <w:rsid w:val="054F0A3C"/>
    <w:rsid w:val="05530DAA"/>
    <w:rsid w:val="05CC0582"/>
    <w:rsid w:val="07B55D2E"/>
    <w:rsid w:val="07E25979"/>
    <w:rsid w:val="07ED0962"/>
    <w:rsid w:val="081F6A2B"/>
    <w:rsid w:val="082829FC"/>
    <w:rsid w:val="08510EF1"/>
    <w:rsid w:val="08881857"/>
    <w:rsid w:val="08E45FC8"/>
    <w:rsid w:val="095F2A73"/>
    <w:rsid w:val="09F558AC"/>
    <w:rsid w:val="0A1637F1"/>
    <w:rsid w:val="0A483CC9"/>
    <w:rsid w:val="0A6C6A0C"/>
    <w:rsid w:val="0A6D18E6"/>
    <w:rsid w:val="0AFF19D8"/>
    <w:rsid w:val="0B57681E"/>
    <w:rsid w:val="0BCB4B16"/>
    <w:rsid w:val="0C3A6DD0"/>
    <w:rsid w:val="0C4C3EA9"/>
    <w:rsid w:val="0CA05FA3"/>
    <w:rsid w:val="0CB62557"/>
    <w:rsid w:val="0CFA28AC"/>
    <w:rsid w:val="0DEC54FF"/>
    <w:rsid w:val="0E8A515C"/>
    <w:rsid w:val="0ED15464"/>
    <w:rsid w:val="0F023909"/>
    <w:rsid w:val="0F096FCC"/>
    <w:rsid w:val="0F1E7653"/>
    <w:rsid w:val="0F8C7C3F"/>
    <w:rsid w:val="0F8D4569"/>
    <w:rsid w:val="0F917E25"/>
    <w:rsid w:val="0FA7589A"/>
    <w:rsid w:val="0FEC31E4"/>
    <w:rsid w:val="10452995"/>
    <w:rsid w:val="11205904"/>
    <w:rsid w:val="11373832"/>
    <w:rsid w:val="11AF4BC5"/>
    <w:rsid w:val="12483364"/>
    <w:rsid w:val="129168E0"/>
    <w:rsid w:val="12EA7F78"/>
    <w:rsid w:val="134377C5"/>
    <w:rsid w:val="14701F95"/>
    <w:rsid w:val="14B545B5"/>
    <w:rsid w:val="15393438"/>
    <w:rsid w:val="15B12FCF"/>
    <w:rsid w:val="160C516C"/>
    <w:rsid w:val="16A3369E"/>
    <w:rsid w:val="177C4845"/>
    <w:rsid w:val="17E07B9B"/>
    <w:rsid w:val="17E7717C"/>
    <w:rsid w:val="182F5CF7"/>
    <w:rsid w:val="18493992"/>
    <w:rsid w:val="188A384C"/>
    <w:rsid w:val="195919B3"/>
    <w:rsid w:val="196033B5"/>
    <w:rsid w:val="1A4907A5"/>
    <w:rsid w:val="1A613515"/>
    <w:rsid w:val="1A7D3DC7"/>
    <w:rsid w:val="1A8A0541"/>
    <w:rsid w:val="1AB37744"/>
    <w:rsid w:val="1BA57132"/>
    <w:rsid w:val="1C474BE2"/>
    <w:rsid w:val="1C69015F"/>
    <w:rsid w:val="1C6C43BE"/>
    <w:rsid w:val="1C7D7017"/>
    <w:rsid w:val="1CAB3BA7"/>
    <w:rsid w:val="1CAD5857"/>
    <w:rsid w:val="1D1722B1"/>
    <w:rsid w:val="1D1D0FA8"/>
    <w:rsid w:val="1D214638"/>
    <w:rsid w:val="1D234B36"/>
    <w:rsid w:val="1D3A2348"/>
    <w:rsid w:val="1D744341"/>
    <w:rsid w:val="1DAB29F9"/>
    <w:rsid w:val="1DC85359"/>
    <w:rsid w:val="1DDF7256"/>
    <w:rsid w:val="1E0E03A9"/>
    <w:rsid w:val="1EDB7BAC"/>
    <w:rsid w:val="1F2F7577"/>
    <w:rsid w:val="1F80241C"/>
    <w:rsid w:val="1FA179A1"/>
    <w:rsid w:val="1FA71066"/>
    <w:rsid w:val="1FCA21EC"/>
    <w:rsid w:val="1FD75277"/>
    <w:rsid w:val="1FE06EFF"/>
    <w:rsid w:val="1FED010B"/>
    <w:rsid w:val="20F052F3"/>
    <w:rsid w:val="21565416"/>
    <w:rsid w:val="21B91A0D"/>
    <w:rsid w:val="21FB2215"/>
    <w:rsid w:val="22441378"/>
    <w:rsid w:val="22486A69"/>
    <w:rsid w:val="224C6559"/>
    <w:rsid w:val="233D4BC4"/>
    <w:rsid w:val="237A244B"/>
    <w:rsid w:val="24967ED9"/>
    <w:rsid w:val="24A02B8C"/>
    <w:rsid w:val="254A6440"/>
    <w:rsid w:val="255045B2"/>
    <w:rsid w:val="25E033F0"/>
    <w:rsid w:val="268F110A"/>
    <w:rsid w:val="26D73919"/>
    <w:rsid w:val="26D905D7"/>
    <w:rsid w:val="26FA5DDA"/>
    <w:rsid w:val="270B509E"/>
    <w:rsid w:val="27232337"/>
    <w:rsid w:val="27435E88"/>
    <w:rsid w:val="28CB21A2"/>
    <w:rsid w:val="290E1781"/>
    <w:rsid w:val="298A7967"/>
    <w:rsid w:val="29A058F9"/>
    <w:rsid w:val="29A21154"/>
    <w:rsid w:val="29B94A31"/>
    <w:rsid w:val="2A577360"/>
    <w:rsid w:val="2A7375F7"/>
    <w:rsid w:val="2A9E71D0"/>
    <w:rsid w:val="2AAD0BA5"/>
    <w:rsid w:val="2AE13EFE"/>
    <w:rsid w:val="2B28623D"/>
    <w:rsid w:val="2BDC35AF"/>
    <w:rsid w:val="2C5F1809"/>
    <w:rsid w:val="2CD07D87"/>
    <w:rsid w:val="2D0839C4"/>
    <w:rsid w:val="2D0B0DBF"/>
    <w:rsid w:val="2D66454A"/>
    <w:rsid w:val="2D8C5ECA"/>
    <w:rsid w:val="2DB649E2"/>
    <w:rsid w:val="2DFB0E33"/>
    <w:rsid w:val="2E2465DC"/>
    <w:rsid w:val="2E7A0BC8"/>
    <w:rsid w:val="2F3445FD"/>
    <w:rsid w:val="2F452CAE"/>
    <w:rsid w:val="2FAC5F14"/>
    <w:rsid w:val="2FBD02E8"/>
    <w:rsid w:val="2FC71915"/>
    <w:rsid w:val="2FE76DFC"/>
    <w:rsid w:val="30257DC0"/>
    <w:rsid w:val="3049057C"/>
    <w:rsid w:val="30CE0A81"/>
    <w:rsid w:val="30F027A5"/>
    <w:rsid w:val="30FC739C"/>
    <w:rsid w:val="31214124"/>
    <w:rsid w:val="313A7EC4"/>
    <w:rsid w:val="31532D34"/>
    <w:rsid w:val="319B6BB5"/>
    <w:rsid w:val="32063A16"/>
    <w:rsid w:val="32E77BD8"/>
    <w:rsid w:val="347831DE"/>
    <w:rsid w:val="35156843"/>
    <w:rsid w:val="357A4D33"/>
    <w:rsid w:val="35C47314"/>
    <w:rsid w:val="361C734F"/>
    <w:rsid w:val="368045CB"/>
    <w:rsid w:val="377E4FAF"/>
    <w:rsid w:val="379E6A38"/>
    <w:rsid w:val="384E5245"/>
    <w:rsid w:val="388D1222"/>
    <w:rsid w:val="38C84008"/>
    <w:rsid w:val="38D60DC7"/>
    <w:rsid w:val="391E396C"/>
    <w:rsid w:val="39490539"/>
    <w:rsid w:val="39BD78E5"/>
    <w:rsid w:val="39DB3528"/>
    <w:rsid w:val="3A9248CD"/>
    <w:rsid w:val="3AB413D1"/>
    <w:rsid w:val="3ABF4589"/>
    <w:rsid w:val="3B2E0A29"/>
    <w:rsid w:val="3B8A7360"/>
    <w:rsid w:val="3BA71793"/>
    <w:rsid w:val="3BC745F6"/>
    <w:rsid w:val="3C047A4D"/>
    <w:rsid w:val="3C1F4887"/>
    <w:rsid w:val="3C4A361D"/>
    <w:rsid w:val="3D242152"/>
    <w:rsid w:val="3D59375E"/>
    <w:rsid w:val="3DA52B6A"/>
    <w:rsid w:val="3DD84CED"/>
    <w:rsid w:val="3DF15DAF"/>
    <w:rsid w:val="3E4E1478"/>
    <w:rsid w:val="3E651034"/>
    <w:rsid w:val="3EFA44B1"/>
    <w:rsid w:val="3F277CDA"/>
    <w:rsid w:val="3F6C1B91"/>
    <w:rsid w:val="3F731171"/>
    <w:rsid w:val="3FC76DC7"/>
    <w:rsid w:val="404806CC"/>
    <w:rsid w:val="406B6C4D"/>
    <w:rsid w:val="40866C82"/>
    <w:rsid w:val="40D35AEA"/>
    <w:rsid w:val="40E85657"/>
    <w:rsid w:val="40FE4A6B"/>
    <w:rsid w:val="41320BB8"/>
    <w:rsid w:val="414C5B13"/>
    <w:rsid w:val="414F37FD"/>
    <w:rsid w:val="417365DD"/>
    <w:rsid w:val="41B51EFE"/>
    <w:rsid w:val="41C46836"/>
    <w:rsid w:val="41FD4D22"/>
    <w:rsid w:val="422D4133"/>
    <w:rsid w:val="43197979"/>
    <w:rsid w:val="43566DE0"/>
    <w:rsid w:val="43883DD3"/>
    <w:rsid w:val="43EB3A7C"/>
    <w:rsid w:val="44472BCC"/>
    <w:rsid w:val="444C4476"/>
    <w:rsid w:val="44684C88"/>
    <w:rsid w:val="449C4CC6"/>
    <w:rsid w:val="44A65B45"/>
    <w:rsid w:val="44B64C48"/>
    <w:rsid w:val="453E18DA"/>
    <w:rsid w:val="459F6E66"/>
    <w:rsid w:val="45DB1E68"/>
    <w:rsid w:val="46582E6F"/>
    <w:rsid w:val="46876031"/>
    <w:rsid w:val="46A177DE"/>
    <w:rsid w:val="46BF6F80"/>
    <w:rsid w:val="4731122C"/>
    <w:rsid w:val="47BB36B5"/>
    <w:rsid w:val="483D6FB0"/>
    <w:rsid w:val="48DA7B6B"/>
    <w:rsid w:val="48F7696F"/>
    <w:rsid w:val="49B76E40"/>
    <w:rsid w:val="49D071C0"/>
    <w:rsid w:val="4ABB1C1E"/>
    <w:rsid w:val="4AEA474F"/>
    <w:rsid w:val="4BDF75B8"/>
    <w:rsid w:val="4C015A0B"/>
    <w:rsid w:val="4C1944D4"/>
    <w:rsid w:val="4C3954F1"/>
    <w:rsid w:val="4D493B35"/>
    <w:rsid w:val="4D934592"/>
    <w:rsid w:val="4DB61E1A"/>
    <w:rsid w:val="4DB82445"/>
    <w:rsid w:val="4DC600E6"/>
    <w:rsid w:val="4DF215C7"/>
    <w:rsid w:val="4DFA037E"/>
    <w:rsid w:val="4E1709BC"/>
    <w:rsid w:val="4E27131C"/>
    <w:rsid w:val="4E55336E"/>
    <w:rsid w:val="4ED040FD"/>
    <w:rsid w:val="4EE7123F"/>
    <w:rsid w:val="4F230624"/>
    <w:rsid w:val="4F2F5550"/>
    <w:rsid w:val="4FB01626"/>
    <w:rsid w:val="4FCB46B2"/>
    <w:rsid w:val="506765BF"/>
    <w:rsid w:val="507A74BC"/>
    <w:rsid w:val="508D5E0B"/>
    <w:rsid w:val="50D574E2"/>
    <w:rsid w:val="50DD67A4"/>
    <w:rsid w:val="50F12079"/>
    <w:rsid w:val="51C15D6C"/>
    <w:rsid w:val="52045C59"/>
    <w:rsid w:val="524F15CA"/>
    <w:rsid w:val="528079D5"/>
    <w:rsid w:val="528D5010"/>
    <w:rsid w:val="52CE37D8"/>
    <w:rsid w:val="52E361B6"/>
    <w:rsid w:val="530F0D59"/>
    <w:rsid w:val="54061453"/>
    <w:rsid w:val="548D1B99"/>
    <w:rsid w:val="54D271D5"/>
    <w:rsid w:val="54D41ACD"/>
    <w:rsid w:val="54ED50CA"/>
    <w:rsid w:val="55676C2B"/>
    <w:rsid w:val="55F67FAE"/>
    <w:rsid w:val="55FB134A"/>
    <w:rsid w:val="560B1CAC"/>
    <w:rsid w:val="563B1CAF"/>
    <w:rsid w:val="56483F5B"/>
    <w:rsid w:val="566B62A7"/>
    <w:rsid w:val="57623B4D"/>
    <w:rsid w:val="57801CEA"/>
    <w:rsid w:val="57B63ABC"/>
    <w:rsid w:val="57BC1E89"/>
    <w:rsid w:val="57EC50D9"/>
    <w:rsid w:val="58AF2BC2"/>
    <w:rsid w:val="58B77EC9"/>
    <w:rsid w:val="58B971E4"/>
    <w:rsid w:val="58E95BA9"/>
    <w:rsid w:val="59101387"/>
    <w:rsid w:val="596C5272"/>
    <w:rsid w:val="59BC3A3D"/>
    <w:rsid w:val="59D960EE"/>
    <w:rsid w:val="5AEA5C0E"/>
    <w:rsid w:val="5AF0321E"/>
    <w:rsid w:val="5B9B6430"/>
    <w:rsid w:val="5BF744C9"/>
    <w:rsid w:val="5C2C297C"/>
    <w:rsid w:val="5C861FC2"/>
    <w:rsid w:val="5CBD672C"/>
    <w:rsid w:val="5F166FCB"/>
    <w:rsid w:val="5F3C0A7A"/>
    <w:rsid w:val="5F3E6C4E"/>
    <w:rsid w:val="5FB06F80"/>
    <w:rsid w:val="5FCB20E9"/>
    <w:rsid w:val="60261490"/>
    <w:rsid w:val="603445E0"/>
    <w:rsid w:val="604E1113"/>
    <w:rsid w:val="609D1647"/>
    <w:rsid w:val="60BD1DF5"/>
    <w:rsid w:val="61563A1F"/>
    <w:rsid w:val="619E3FE0"/>
    <w:rsid w:val="61AC6019"/>
    <w:rsid w:val="61FE0917"/>
    <w:rsid w:val="62BB2364"/>
    <w:rsid w:val="63864A02"/>
    <w:rsid w:val="63C15C7C"/>
    <w:rsid w:val="64A01811"/>
    <w:rsid w:val="651F0D3A"/>
    <w:rsid w:val="65AE5097"/>
    <w:rsid w:val="65C36135"/>
    <w:rsid w:val="661C2D5C"/>
    <w:rsid w:val="66590A7D"/>
    <w:rsid w:val="667B1AF3"/>
    <w:rsid w:val="671E1874"/>
    <w:rsid w:val="67654F94"/>
    <w:rsid w:val="67917192"/>
    <w:rsid w:val="680E340D"/>
    <w:rsid w:val="68182006"/>
    <w:rsid w:val="68947363"/>
    <w:rsid w:val="68F16ADF"/>
    <w:rsid w:val="6975127E"/>
    <w:rsid w:val="69C45FA2"/>
    <w:rsid w:val="6A0F6CA4"/>
    <w:rsid w:val="6A1C6D46"/>
    <w:rsid w:val="6A762D52"/>
    <w:rsid w:val="6A8B6AC0"/>
    <w:rsid w:val="6A971908"/>
    <w:rsid w:val="6AC56475"/>
    <w:rsid w:val="6B2660D2"/>
    <w:rsid w:val="6B5A711B"/>
    <w:rsid w:val="6B80410D"/>
    <w:rsid w:val="6BED30BB"/>
    <w:rsid w:val="6C0905E4"/>
    <w:rsid w:val="6C152AE5"/>
    <w:rsid w:val="6C923092"/>
    <w:rsid w:val="6CB05D30"/>
    <w:rsid w:val="6CD419AC"/>
    <w:rsid w:val="6D1852E5"/>
    <w:rsid w:val="6D9D5A27"/>
    <w:rsid w:val="6E895A0C"/>
    <w:rsid w:val="6EB45D89"/>
    <w:rsid w:val="6ECB40A0"/>
    <w:rsid w:val="6ECD58F9"/>
    <w:rsid w:val="6ED06325"/>
    <w:rsid w:val="6ED25C52"/>
    <w:rsid w:val="6F6D70DC"/>
    <w:rsid w:val="6FDF7AF8"/>
    <w:rsid w:val="70FE448F"/>
    <w:rsid w:val="71710BE9"/>
    <w:rsid w:val="71754026"/>
    <w:rsid w:val="71C07E93"/>
    <w:rsid w:val="71FD64F5"/>
    <w:rsid w:val="721101F2"/>
    <w:rsid w:val="72AF179A"/>
    <w:rsid w:val="72DD6449"/>
    <w:rsid w:val="73171838"/>
    <w:rsid w:val="733702F8"/>
    <w:rsid w:val="739B4217"/>
    <w:rsid w:val="73D12040"/>
    <w:rsid w:val="73EA0CFB"/>
    <w:rsid w:val="74043A9C"/>
    <w:rsid w:val="74583EB6"/>
    <w:rsid w:val="75986535"/>
    <w:rsid w:val="75CA0DE4"/>
    <w:rsid w:val="7664278D"/>
    <w:rsid w:val="766F3E75"/>
    <w:rsid w:val="77087365"/>
    <w:rsid w:val="77560455"/>
    <w:rsid w:val="77770943"/>
    <w:rsid w:val="779517C5"/>
    <w:rsid w:val="77FF3AF6"/>
    <w:rsid w:val="78090E99"/>
    <w:rsid w:val="78390552"/>
    <w:rsid w:val="783B3DB6"/>
    <w:rsid w:val="793D18CD"/>
    <w:rsid w:val="79857348"/>
    <w:rsid w:val="799C4845"/>
    <w:rsid w:val="79E005EE"/>
    <w:rsid w:val="7A635363"/>
    <w:rsid w:val="7A79605C"/>
    <w:rsid w:val="7AC5731F"/>
    <w:rsid w:val="7AE2272C"/>
    <w:rsid w:val="7B454A69"/>
    <w:rsid w:val="7B5178B1"/>
    <w:rsid w:val="7C635AEE"/>
    <w:rsid w:val="7C8C01AA"/>
    <w:rsid w:val="7D730360"/>
    <w:rsid w:val="7D89272A"/>
    <w:rsid w:val="7D943A85"/>
    <w:rsid w:val="7E3C03A5"/>
    <w:rsid w:val="7E3F39F1"/>
    <w:rsid w:val="7EAA6428"/>
    <w:rsid w:val="7F5E434B"/>
    <w:rsid w:val="7FC112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link w:val="35"/>
    <w:unhideWhenUsed/>
    <w:qFormat/>
    <w:uiPriority w:val="99"/>
  </w:style>
  <w:style w:type="paragraph" w:styleId="4">
    <w:name w:val="annotation text"/>
    <w:basedOn w:val="1"/>
    <w:qFormat/>
    <w:uiPriority w:val="0"/>
    <w:pPr>
      <w:jc w:val="left"/>
    </w:pPr>
  </w:style>
  <w:style w:type="paragraph" w:styleId="5">
    <w:name w:val="Body Text"/>
    <w:basedOn w:val="1"/>
    <w:next w:val="6"/>
    <w:link w:val="36"/>
    <w:qFormat/>
    <w:uiPriority w:val="0"/>
    <w:pPr>
      <w:ind w:firstLine="652"/>
    </w:pPr>
    <w:rPr>
      <w:rFonts w:ascii="Calibri" w:hAnsi="Calibri"/>
    </w:rPr>
  </w:style>
  <w:style w:type="paragraph" w:styleId="6">
    <w:name w:val="List Paragraph"/>
    <w:basedOn w:val="1"/>
    <w:qFormat/>
    <w:uiPriority w:val="34"/>
    <w:pPr>
      <w:ind w:firstLine="420" w:firstLineChars="200"/>
    </w:pPr>
  </w:style>
  <w:style w:type="paragraph" w:styleId="7">
    <w:name w:val="Date"/>
    <w:basedOn w:val="1"/>
    <w:next w:val="1"/>
    <w:link w:val="30"/>
    <w:qFormat/>
    <w:uiPriority w:val="0"/>
    <w:pPr>
      <w:ind w:left="100" w:leftChars="2500"/>
    </w:pPr>
  </w:style>
  <w:style w:type="paragraph" w:styleId="8">
    <w:name w:val="Balloon Text"/>
    <w:basedOn w:val="1"/>
    <w:link w:val="41"/>
    <w:qFormat/>
    <w:uiPriority w:val="0"/>
    <w:rPr>
      <w:sz w:val="18"/>
      <w:szCs w:val="18"/>
    </w:rPr>
  </w:style>
  <w:style w:type="paragraph" w:styleId="9">
    <w:name w:val="footer"/>
    <w:basedOn w:val="1"/>
    <w:link w:val="37"/>
    <w:qFormat/>
    <w:uiPriority w:val="99"/>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footnote text"/>
    <w:basedOn w:val="1"/>
    <w:qFormat/>
    <w:uiPriority w:val="0"/>
    <w:pPr>
      <w:snapToGrid w:val="0"/>
      <w:jc w:val="left"/>
    </w:pPr>
    <w:rPr>
      <w:sz w:val="18"/>
    </w:rPr>
  </w:style>
  <w:style w:type="character" w:styleId="14">
    <w:name w:val="Strong"/>
    <w:basedOn w:val="13"/>
    <w:qFormat/>
    <w:uiPriority w:val="22"/>
    <w:rPr>
      <w:b/>
    </w:rPr>
  </w:style>
  <w:style w:type="character" w:styleId="15">
    <w:name w:val="annotation reference"/>
    <w:basedOn w:val="13"/>
    <w:qFormat/>
    <w:uiPriority w:val="0"/>
    <w:rPr>
      <w:sz w:val="21"/>
      <w:szCs w:val="21"/>
    </w:rPr>
  </w:style>
  <w:style w:type="character" w:styleId="16">
    <w:name w:val="footnote reference"/>
    <w:basedOn w:val="13"/>
    <w:qFormat/>
    <w:uiPriority w:val="0"/>
    <w:rPr>
      <w:vertAlign w:val="superscript"/>
    </w:rPr>
  </w:style>
  <w:style w:type="paragraph" w:customStyle="1" w:styleId="17">
    <w:name w:val="excel"/>
    <w:basedOn w:val="1"/>
    <w:qFormat/>
    <w:uiPriority w:val="0"/>
    <w:pPr>
      <w:numPr>
        <w:ilvl w:val="0"/>
        <w:numId w:val="1"/>
      </w:numPr>
      <w:spacing w:line="300" w:lineRule="exact"/>
    </w:pPr>
    <w:rPr>
      <w:rFonts w:ascii="Times New Roman" w:hAnsi="Times New Roman" w:eastAsia="方正仿宋_GBK" w:cs="Times New Roman"/>
      <w:sz w:val="24"/>
    </w:rPr>
  </w:style>
  <w:style w:type="character" w:customStyle="1" w:styleId="18">
    <w:name w:val="NormalCharacter"/>
    <w:qFormat/>
    <w:uiPriority w:val="0"/>
    <w:rPr>
      <w:rFonts w:ascii="Calibri" w:hAnsi="Calibri" w:eastAsia="宋体"/>
    </w:rPr>
  </w:style>
  <w:style w:type="character" w:customStyle="1" w:styleId="19">
    <w:name w:val="font41"/>
    <w:basedOn w:val="13"/>
    <w:qFormat/>
    <w:uiPriority w:val="0"/>
    <w:rPr>
      <w:rFonts w:hint="eastAsia" w:ascii="宋体" w:hAnsi="宋体" w:eastAsia="宋体" w:cs="宋体"/>
      <w:b/>
      <w:color w:val="000000"/>
      <w:sz w:val="22"/>
      <w:szCs w:val="22"/>
      <w:u w:val="none"/>
    </w:rPr>
  </w:style>
  <w:style w:type="character" w:customStyle="1" w:styleId="20">
    <w:name w:val="font31"/>
    <w:basedOn w:val="13"/>
    <w:qFormat/>
    <w:uiPriority w:val="0"/>
    <w:rPr>
      <w:rFonts w:hint="default" w:ascii="Times New Roman" w:hAnsi="Times New Roman" w:cs="Times New Roman"/>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2"/>
      <w:szCs w:val="22"/>
      <w:u w:val="none"/>
    </w:rPr>
  </w:style>
  <w:style w:type="character" w:customStyle="1" w:styleId="22">
    <w:name w:val="font112"/>
    <w:basedOn w:val="13"/>
    <w:qFormat/>
    <w:uiPriority w:val="0"/>
    <w:rPr>
      <w:rFonts w:hint="default" w:ascii="Times New Roman" w:hAnsi="Times New Roman" w:cs="Times New Roman"/>
      <w:color w:val="000000"/>
      <w:sz w:val="22"/>
      <w:szCs w:val="22"/>
      <w:u w:val="none"/>
    </w:rPr>
  </w:style>
  <w:style w:type="character" w:customStyle="1" w:styleId="23">
    <w:name w:val="font11"/>
    <w:basedOn w:val="13"/>
    <w:qFormat/>
    <w:uiPriority w:val="0"/>
    <w:rPr>
      <w:rFonts w:hint="eastAsia" w:ascii="方正仿宋_GBK" w:hAnsi="方正仿宋_GBK" w:eastAsia="方正仿宋_GBK" w:cs="方正仿宋_GBK"/>
      <w:b/>
      <w:color w:val="000000"/>
      <w:sz w:val="22"/>
      <w:szCs w:val="22"/>
      <w:u w:val="none"/>
    </w:rPr>
  </w:style>
  <w:style w:type="character" w:customStyle="1" w:styleId="24">
    <w:name w:val="font131"/>
    <w:basedOn w:val="13"/>
    <w:qFormat/>
    <w:uiPriority w:val="0"/>
    <w:rPr>
      <w:rFonts w:hint="default" w:ascii="Times New Roman" w:hAnsi="Times New Roman" w:cs="Times New Roman"/>
      <w:color w:val="000000"/>
      <w:sz w:val="22"/>
      <w:szCs w:val="22"/>
      <w:u w:val="none"/>
    </w:rPr>
  </w:style>
  <w:style w:type="character" w:customStyle="1" w:styleId="25">
    <w:name w:val="font61"/>
    <w:basedOn w:val="13"/>
    <w:qFormat/>
    <w:uiPriority w:val="0"/>
    <w:rPr>
      <w:rFonts w:hint="eastAsia" w:ascii="方正仿宋_GBK" w:hAnsi="方正仿宋_GBK" w:eastAsia="方正仿宋_GBK" w:cs="方正仿宋_GBK"/>
      <w:color w:val="000000"/>
      <w:sz w:val="22"/>
      <w:szCs w:val="22"/>
      <w:u w:val="none"/>
    </w:rPr>
  </w:style>
  <w:style w:type="character" w:customStyle="1" w:styleId="26">
    <w:name w:val="font141"/>
    <w:basedOn w:val="13"/>
    <w:qFormat/>
    <w:uiPriority w:val="0"/>
    <w:rPr>
      <w:rFonts w:hint="eastAsia" w:ascii="方正仿宋_GBK" w:hAnsi="方正仿宋_GBK" w:eastAsia="方正仿宋_GBK" w:cs="方正仿宋_GBK"/>
      <w:b/>
      <w:color w:val="000000"/>
      <w:sz w:val="22"/>
      <w:szCs w:val="22"/>
      <w:u w:val="none"/>
    </w:rPr>
  </w:style>
  <w:style w:type="character" w:customStyle="1" w:styleId="27">
    <w:name w:val="font121"/>
    <w:basedOn w:val="13"/>
    <w:qFormat/>
    <w:uiPriority w:val="0"/>
    <w:rPr>
      <w:rFonts w:hint="default" w:ascii="Times New Roman" w:hAnsi="Times New Roman" w:cs="Times New Roman"/>
      <w:color w:val="000000"/>
      <w:sz w:val="22"/>
      <w:szCs w:val="22"/>
      <w:u w:val="none"/>
    </w:rPr>
  </w:style>
  <w:style w:type="character" w:customStyle="1" w:styleId="28">
    <w:name w:val="font151"/>
    <w:basedOn w:val="13"/>
    <w:qFormat/>
    <w:uiPriority w:val="0"/>
    <w:rPr>
      <w:rFonts w:hint="eastAsia" w:ascii="方正仿宋_GBK" w:hAnsi="方正仿宋_GBK" w:eastAsia="方正仿宋_GBK" w:cs="方正仿宋_GBK"/>
      <w:color w:val="000000"/>
      <w:sz w:val="22"/>
      <w:szCs w:val="22"/>
      <w:u w:val="none"/>
    </w:rPr>
  </w:style>
  <w:style w:type="character" w:customStyle="1" w:styleId="29">
    <w:name w:val="font51"/>
    <w:basedOn w:val="13"/>
    <w:qFormat/>
    <w:uiPriority w:val="0"/>
    <w:rPr>
      <w:rFonts w:hint="default" w:ascii="Times New Roman" w:hAnsi="Times New Roman" w:cs="Times New Roman"/>
      <w:color w:val="000000"/>
      <w:sz w:val="22"/>
      <w:szCs w:val="22"/>
      <w:u w:val="none"/>
    </w:rPr>
  </w:style>
  <w:style w:type="character" w:customStyle="1" w:styleId="30">
    <w:name w:val="日期 Char"/>
    <w:basedOn w:val="13"/>
    <w:link w:val="7"/>
    <w:qFormat/>
    <w:uiPriority w:val="0"/>
    <w:rPr>
      <w:rFonts w:asciiTheme="minorHAnsi" w:hAnsiTheme="minorHAnsi" w:eastAsiaTheme="minorEastAsia" w:cstheme="minorBidi"/>
      <w:kern w:val="2"/>
      <w:sz w:val="21"/>
      <w:szCs w:val="24"/>
    </w:rPr>
  </w:style>
  <w:style w:type="character" w:customStyle="1" w:styleId="31">
    <w:name w:val="font122"/>
    <w:basedOn w:val="13"/>
    <w:qFormat/>
    <w:uiPriority w:val="0"/>
    <w:rPr>
      <w:rFonts w:hint="eastAsia" w:ascii="方正仿宋_GBK" w:hAnsi="方正仿宋_GBK" w:eastAsia="方正仿宋_GBK" w:cs="方正仿宋_GBK"/>
      <w:color w:val="000000"/>
      <w:sz w:val="22"/>
      <w:szCs w:val="22"/>
      <w:u w:val="none"/>
    </w:rPr>
  </w:style>
  <w:style w:type="character" w:customStyle="1" w:styleId="32">
    <w:name w:val="font91"/>
    <w:basedOn w:val="13"/>
    <w:qFormat/>
    <w:uiPriority w:val="0"/>
    <w:rPr>
      <w:rFonts w:hint="eastAsia" w:ascii="方正仿宋_GBK" w:hAnsi="方正仿宋_GBK" w:eastAsia="方正仿宋_GBK" w:cs="方正仿宋_GBK"/>
      <w:b/>
      <w:color w:val="000000"/>
      <w:sz w:val="20"/>
      <w:szCs w:val="20"/>
      <w:u w:val="none"/>
    </w:rPr>
  </w:style>
  <w:style w:type="character" w:customStyle="1" w:styleId="33">
    <w:name w:val="font12"/>
    <w:basedOn w:val="13"/>
    <w:qFormat/>
    <w:uiPriority w:val="0"/>
    <w:rPr>
      <w:rFonts w:hint="eastAsia" w:ascii="方正仿宋_GBK" w:hAnsi="方正仿宋_GBK" w:eastAsia="方正仿宋_GBK" w:cs="方正仿宋_GBK"/>
      <w:color w:val="000000"/>
      <w:sz w:val="20"/>
      <w:szCs w:val="20"/>
      <w:u w:val="none"/>
    </w:rPr>
  </w:style>
  <w:style w:type="character" w:customStyle="1" w:styleId="34">
    <w:name w:val="font111"/>
    <w:basedOn w:val="13"/>
    <w:qFormat/>
    <w:uiPriority w:val="0"/>
    <w:rPr>
      <w:rFonts w:hint="default" w:ascii="Times New Roman" w:hAnsi="Times New Roman" w:cs="Times New Roman"/>
      <w:color w:val="000000"/>
      <w:sz w:val="20"/>
      <w:szCs w:val="20"/>
      <w:u w:val="none"/>
    </w:rPr>
  </w:style>
  <w:style w:type="character" w:customStyle="1" w:styleId="35">
    <w:name w:val="称呼 Char"/>
    <w:basedOn w:val="13"/>
    <w:link w:val="2"/>
    <w:qFormat/>
    <w:uiPriority w:val="99"/>
    <w:rPr>
      <w:rFonts w:asciiTheme="minorHAnsi" w:hAnsiTheme="minorHAnsi" w:eastAsiaTheme="minorEastAsia" w:cstheme="minorBidi"/>
      <w:kern w:val="2"/>
      <w:sz w:val="21"/>
      <w:szCs w:val="24"/>
    </w:rPr>
  </w:style>
  <w:style w:type="character" w:customStyle="1" w:styleId="36">
    <w:name w:val="正文文本 Char"/>
    <w:basedOn w:val="13"/>
    <w:link w:val="5"/>
    <w:qFormat/>
    <w:uiPriority w:val="0"/>
    <w:rPr>
      <w:rFonts w:ascii="Calibri" w:hAnsi="Calibri" w:eastAsiaTheme="minorEastAsia" w:cstheme="minorBidi"/>
      <w:kern w:val="2"/>
      <w:sz w:val="21"/>
      <w:szCs w:val="24"/>
    </w:rPr>
  </w:style>
  <w:style w:type="character" w:customStyle="1" w:styleId="37">
    <w:name w:val="页脚 Char"/>
    <w:basedOn w:val="13"/>
    <w:link w:val="9"/>
    <w:qFormat/>
    <w:uiPriority w:val="99"/>
    <w:rPr>
      <w:rFonts w:asciiTheme="minorHAnsi" w:hAnsiTheme="minorHAnsi" w:eastAsiaTheme="minorEastAsia" w:cstheme="minorBidi"/>
      <w:kern w:val="2"/>
      <w:sz w:val="18"/>
      <w:szCs w:val="24"/>
    </w:rPr>
  </w:style>
  <w:style w:type="character" w:customStyle="1" w:styleId="38">
    <w:name w:val="font191"/>
    <w:basedOn w:val="13"/>
    <w:qFormat/>
    <w:uiPriority w:val="0"/>
    <w:rPr>
      <w:rFonts w:hint="eastAsia" w:ascii="宋体" w:hAnsi="宋体" w:eastAsia="宋体" w:cs="宋体"/>
      <w:b/>
      <w:bCs/>
      <w:color w:val="000000"/>
      <w:sz w:val="52"/>
      <w:szCs w:val="52"/>
      <w:u w:val="none"/>
    </w:rPr>
  </w:style>
  <w:style w:type="character" w:customStyle="1" w:styleId="39">
    <w:name w:val="font101"/>
    <w:basedOn w:val="13"/>
    <w:qFormat/>
    <w:uiPriority w:val="0"/>
    <w:rPr>
      <w:rFonts w:hint="eastAsia" w:ascii="宋体" w:hAnsi="宋体" w:eastAsia="宋体" w:cs="宋体"/>
      <w:b/>
      <w:bCs/>
      <w:color w:val="000000"/>
      <w:sz w:val="24"/>
      <w:szCs w:val="24"/>
      <w:u w:val="none"/>
    </w:rPr>
  </w:style>
  <w:style w:type="character" w:customStyle="1" w:styleId="40">
    <w:name w:val="font01"/>
    <w:basedOn w:val="13"/>
    <w:qFormat/>
    <w:uiPriority w:val="0"/>
    <w:rPr>
      <w:rFonts w:hint="eastAsia" w:ascii="方正仿宋_GBK" w:hAnsi="方正仿宋_GBK" w:eastAsia="方正仿宋_GBK" w:cs="方正仿宋_GBK"/>
      <w:b/>
      <w:bCs/>
      <w:color w:val="000000"/>
      <w:sz w:val="22"/>
      <w:szCs w:val="22"/>
      <w:u w:val="none"/>
    </w:rPr>
  </w:style>
  <w:style w:type="character" w:customStyle="1" w:styleId="41">
    <w:name w:val="批注框文本 Char"/>
    <w:basedOn w:val="13"/>
    <w:link w:val="8"/>
    <w:qFormat/>
    <w:uiPriority w:val="0"/>
    <w:rPr>
      <w:rFonts w:asciiTheme="minorHAnsi" w:hAnsiTheme="minorHAnsi" w:eastAsiaTheme="minorEastAsia" w:cstheme="minorBidi"/>
      <w:kern w:val="2"/>
      <w:sz w:val="18"/>
      <w:szCs w:val="18"/>
    </w:rPr>
  </w:style>
  <w:style w:type="character" w:customStyle="1" w:styleId="42">
    <w:name w:val="font71"/>
    <w:basedOn w:val="13"/>
    <w:qFormat/>
    <w:uiPriority w:val="0"/>
    <w:rPr>
      <w:rFonts w:hint="default" w:ascii="Times New Roman" w:hAnsi="Times New Roman" w:cs="Times New Roman"/>
      <w:b/>
      <w:bCs/>
      <w:color w:val="000000"/>
      <w:sz w:val="22"/>
      <w:szCs w:val="22"/>
      <w:u w:val="none"/>
    </w:rPr>
  </w:style>
  <w:style w:type="character" w:customStyle="1" w:styleId="43">
    <w:name w:val="font81"/>
    <w:basedOn w:val="13"/>
    <w:qFormat/>
    <w:uiPriority w:val="0"/>
    <w:rPr>
      <w:rFonts w:hint="eastAsia" w:ascii="方正仿宋_GBK" w:hAnsi="方正仿宋_GBK" w:eastAsia="方正仿宋_GBK" w:cs="方正仿宋_GBK"/>
      <w:b/>
      <w:bCs/>
      <w:color w:val="000000"/>
      <w:sz w:val="22"/>
      <w:szCs w:val="22"/>
      <w:u w:val="none"/>
    </w:rPr>
  </w:style>
  <w:style w:type="character" w:customStyle="1" w:styleId="44">
    <w:name w:val="font161"/>
    <w:basedOn w:val="13"/>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BBFBA2-7FC3-4AF8-BA36-8FB1F1D6D3B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34</Pages>
  <Words>1748</Words>
  <Characters>1903</Characters>
  <Lines>28</Lines>
  <Paragraphs>44</Paragraphs>
  <TotalTime>0</TotalTime>
  <ScaleCrop>false</ScaleCrop>
  <LinksUpToDate>false</LinksUpToDate>
  <CharactersWithSpaces>1906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2022-12-12T10:33:00Z</dcterms:created>
  <dc:creator>芥子须弥1421058580</dc:creator>
  <cp:lastModifiedBy>qhqzz</cp:lastModifiedBy>
  <cp:lastPrinted>2022-12-29T01:38:00Z</cp:lastPrinted>
  <dcterms:modified xsi:type="dcterms:W3CDTF">2024-12-24T09:51:46Z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SaveFontToCloudKey">
    <vt:lpwstr>0_btnclosed</vt:lpwstr>
  </property>
  <property fmtid="{D5CDD505-2E9C-101B-9397-08002B2CF9AE}" pid="4" name="ICV">
    <vt:lpwstr>8A62571434464D0DBC7F0090A9E347F4_13</vt:lpwstr>
  </property>
</Properties>
</file>