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67C41">
      <w:pPr>
        <w:jc w:val="center"/>
        <w:rPr>
          <w:rFonts w:hint="eastAsia" w:ascii="方正仿宋_GBK" w:hAnsi="方正仿宋_GBK" w:eastAsia="方正仿宋_GBK" w:cs="方正仿宋_GBK"/>
          <w:b/>
          <w:bCs/>
          <w:sz w:val="36"/>
          <w:szCs w:val="36"/>
          <w:highlight w:val="none"/>
          <w:lang w:eastAsia="zh-CN"/>
        </w:rPr>
      </w:pPr>
    </w:p>
    <w:p w14:paraId="462F48F4">
      <w:pPr>
        <w:jc w:val="center"/>
        <w:rPr>
          <w:rFonts w:hint="eastAsia" w:ascii="方正小标宋_GBK" w:hAnsi="方正小标宋_GBK" w:eastAsia="方正小标宋_GBK" w:cs="方正小标宋_GBK"/>
          <w:b w:val="0"/>
          <w:bCs w:val="0"/>
          <w:sz w:val="44"/>
          <w:szCs w:val="44"/>
          <w:highlight w:val="none"/>
          <w:lang w:eastAsia="zh-CN"/>
        </w:rPr>
      </w:pPr>
      <w:r>
        <w:rPr>
          <w:rFonts w:hint="eastAsia" w:ascii="方正小标宋_GBK" w:hAnsi="方正小标宋_GBK" w:eastAsia="方正小标宋_GBK" w:cs="方正小标宋_GBK"/>
          <w:b w:val="0"/>
          <w:bCs w:val="0"/>
          <w:sz w:val="44"/>
          <w:szCs w:val="44"/>
          <w:highlight w:val="none"/>
          <w:lang w:eastAsia="zh-CN"/>
        </w:rPr>
        <w:t>秦淮区</w:t>
      </w:r>
      <w:r>
        <w:rPr>
          <w:rFonts w:hint="eastAsia" w:ascii="方正小标宋_GBK" w:hAnsi="方正小标宋_GBK" w:eastAsia="方正小标宋_GBK" w:cs="方正小标宋_GBK"/>
          <w:b w:val="0"/>
          <w:bCs w:val="0"/>
          <w:sz w:val="44"/>
          <w:szCs w:val="44"/>
          <w:highlight w:val="none"/>
          <w:lang w:val="en-US" w:eastAsia="zh-CN"/>
        </w:rPr>
        <w:t>老年人助医陪诊服务</w:t>
      </w:r>
      <w:r>
        <w:rPr>
          <w:rFonts w:hint="eastAsia" w:ascii="方正小标宋_GBK" w:hAnsi="方正小标宋_GBK" w:eastAsia="方正小标宋_GBK" w:cs="方正小标宋_GBK"/>
          <w:b w:val="0"/>
          <w:bCs w:val="0"/>
          <w:sz w:val="44"/>
          <w:szCs w:val="44"/>
          <w:highlight w:val="none"/>
          <w:lang w:eastAsia="zh-CN"/>
        </w:rPr>
        <w:t>培训项目</w:t>
      </w:r>
    </w:p>
    <w:p w14:paraId="61DBFF9B">
      <w:pPr>
        <w:jc w:val="center"/>
        <w:rPr>
          <w:rFonts w:hint="eastAsia" w:ascii="方正小标宋_GBK" w:hAnsi="方正小标宋_GBK" w:eastAsia="方正小标宋_GBK" w:cs="方正小标宋_GBK"/>
          <w:b w:val="0"/>
          <w:bCs w:val="0"/>
          <w:sz w:val="44"/>
          <w:szCs w:val="44"/>
          <w:highlight w:val="none"/>
          <w:lang w:eastAsia="zh-CN"/>
        </w:rPr>
      </w:pPr>
      <w:r>
        <w:rPr>
          <w:rFonts w:hint="eastAsia" w:ascii="方正小标宋_GBK" w:hAnsi="方正小标宋_GBK" w:eastAsia="方正小标宋_GBK" w:cs="方正小标宋_GBK"/>
          <w:b w:val="0"/>
          <w:bCs w:val="0"/>
          <w:sz w:val="44"/>
          <w:szCs w:val="44"/>
          <w:highlight w:val="none"/>
          <w:lang w:eastAsia="zh-CN"/>
        </w:rPr>
        <w:t>竞争性磋商公告</w:t>
      </w:r>
    </w:p>
    <w:p w14:paraId="43078177">
      <w:pPr>
        <w:keepNext w:val="0"/>
        <w:keepLines w:val="0"/>
        <w:pageBreakBefore w:val="0"/>
        <w:numPr>
          <w:ilvl w:val="0"/>
          <w:numId w:val="0"/>
        </w:numPr>
        <w:kinsoku/>
        <w:wordWrap/>
        <w:overflowPunct/>
        <w:topLinePunct w:val="0"/>
        <w:bidi w:val="0"/>
        <w:adjustRightInd/>
        <w:snapToGrid/>
        <w:spacing w:line="520" w:lineRule="exact"/>
        <w:ind w:firstLine="640" w:firstLineChars="200"/>
        <w:textAlignment w:val="auto"/>
        <w:rPr>
          <w:rFonts w:hint="eastAsia" w:ascii="Times New Roman" w:hAnsi="Times New Roman" w:eastAsia="方正仿宋_GBK" w:cs="方正仿宋_GBK"/>
          <w:color w:val="auto"/>
          <w:sz w:val="32"/>
          <w:szCs w:val="32"/>
          <w:highlight w:val="none"/>
          <w:lang w:val="en-US" w:eastAsia="zh-CN"/>
        </w:rPr>
      </w:pPr>
    </w:p>
    <w:p w14:paraId="0AD58BE1">
      <w:pPr>
        <w:keepNext w:val="0"/>
        <w:keepLines w:val="0"/>
        <w:pageBreakBefore w:val="0"/>
        <w:widowControl/>
        <w:numPr>
          <w:ilvl w:val="0"/>
          <w:numId w:val="0"/>
        </w:numPr>
        <w:tabs>
          <w:tab w:val="left" w:pos="592"/>
        </w:tabs>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一、</w:t>
      </w:r>
      <w:r>
        <w:rPr>
          <w:rFonts w:hint="default" w:ascii="方正黑体_GBK" w:hAnsi="方正黑体_GBK" w:eastAsia="方正黑体_GBK" w:cs="方正黑体_GBK"/>
          <w:color w:val="auto"/>
          <w:sz w:val="32"/>
          <w:szCs w:val="32"/>
          <w:highlight w:val="none"/>
          <w:lang w:val="en-US" w:eastAsia="zh-CN"/>
        </w:rPr>
        <w:t>项目名称：</w:t>
      </w:r>
      <w:r>
        <w:rPr>
          <w:rFonts w:hint="default" w:ascii="Times New Roman" w:hAnsi="Times New Roman" w:eastAsia="方正仿宋_GBK" w:cs="方正仿宋_GBK"/>
          <w:color w:val="auto"/>
          <w:sz w:val="32"/>
          <w:szCs w:val="32"/>
          <w:highlight w:val="none"/>
          <w:lang w:val="en-US" w:eastAsia="zh-CN"/>
        </w:rPr>
        <w:t>秦淮区老年人</w:t>
      </w:r>
      <w:r>
        <w:rPr>
          <w:rFonts w:hint="eastAsia" w:ascii="Times New Roman" w:hAnsi="Times New Roman" w:eastAsia="方正仿宋_GBK" w:cs="方正仿宋_GBK"/>
          <w:color w:val="auto"/>
          <w:sz w:val="32"/>
          <w:szCs w:val="32"/>
          <w:highlight w:val="none"/>
          <w:lang w:val="en-US" w:eastAsia="zh-CN"/>
        </w:rPr>
        <w:t>助医陪诊服务</w:t>
      </w:r>
      <w:r>
        <w:rPr>
          <w:rFonts w:hint="default" w:ascii="Times New Roman" w:hAnsi="Times New Roman" w:eastAsia="方正仿宋_GBK" w:cs="方正仿宋_GBK"/>
          <w:color w:val="auto"/>
          <w:sz w:val="32"/>
          <w:szCs w:val="32"/>
          <w:highlight w:val="none"/>
          <w:lang w:val="en-US" w:eastAsia="zh-CN"/>
        </w:rPr>
        <w:t>培训项目。</w:t>
      </w:r>
    </w:p>
    <w:p w14:paraId="68128A99">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二、</w:t>
      </w:r>
      <w:r>
        <w:rPr>
          <w:rFonts w:hint="default" w:ascii="方正黑体_GBK" w:hAnsi="方正黑体_GBK" w:eastAsia="方正黑体_GBK" w:cs="方正黑体_GBK"/>
          <w:color w:val="auto"/>
          <w:sz w:val="32"/>
          <w:szCs w:val="32"/>
          <w:highlight w:val="none"/>
          <w:lang w:val="en-US" w:eastAsia="zh-CN"/>
        </w:rPr>
        <w:t>招标单位：</w:t>
      </w:r>
      <w:r>
        <w:rPr>
          <w:rFonts w:hint="default" w:ascii="Times New Roman" w:hAnsi="Times New Roman" w:eastAsia="方正仿宋_GBK" w:cs="方正仿宋_GBK"/>
          <w:color w:val="auto"/>
          <w:sz w:val="32"/>
          <w:szCs w:val="32"/>
          <w:highlight w:val="none"/>
          <w:lang w:val="en-US" w:eastAsia="zh-CN"/>
        </w:rPr>
        <w:t>南京市秦淮区民政局。</w:t>
      </w:r>
    </w:p>
    <w:p w14:paraId="79CB4DB7">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三、</w:t>
      </w:r>
      <w:r>
        <w:rPr>
          <w:rFonts w:hint="default" w:ascii="方正黑体_GBK" w:hAnsi="方正黑体_GBK" w:eastAsia="方正黑体_GBK" w:cs="方正黑体_GBK"/>
          <w:color w:val="auto"/>
          <w:sz w:val="32"/>
          <w:szCs w:val="32"/>
          <w:highlight w:val="none"/>
          <w:lang w:val="en-US" w:eastAsia="zh-CN"/>
        </w:rPr>
        <w:t>预算金额</w:t>
      </w:r>
      <w:r>
        <w:rPr>
          <w:rFonts w:hint="default"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color w:val="auto"/>
          <w:sz w:val="32"/>
          <w:szCs w:val="32"/>
          <w:highlight w:val="none"/>
          <w:lang w:val="en-US" w:eastAsia="zh-CN"/>
        </w:rPr>
        <w:t>10.5</w:t>
      </w:r>
      <w:r>
        <w:rPr>
          <w:rFonts w:hint="default" w:ascii="Times New Roman" w:hAnsi="Times New Roman" w:eastAsia="方正仿宋_GBK" w:cs="方正仿宋_GBK"/>
          <w:color w:val="auto"/>
          <w:sz w:val="32"/>
          <w:szCs w:val="32"/>
          <w:highlight w:val="none"/>
          <w:lang w:val="en-US" w:eastAsia="zh-CN"/>
        </w:rPr>
        <w:t>万元</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报价超过预算金额的作无效响应处理）</w:t>
      </w:r>
    </w:p>
    <w:p w14:paraId="2FAEC09C">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四、采购需求：</w:t>
      </w:r>
    </w:p>
    <w:p w14:paraId="6D44C090">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1、项目目的</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i w:val="0"/>
          <w:iCs w:val="0"/>
          <w:caps w:val="0"/>
          <w:color w:val="auto"/>
          <w:spacing w:val="0"/>
          <w:sz w:val="32"/>
          <w:szCs w:val="32"/>
          <w:highlight w:val="none"/>
          <w:shd w:val="clear" w:fill="FFFFFF"/>
        </w:rPr>
        <w:t>为深入贯彻落实积极应对人口老龄化国家战略，切实解决老</w:t>
      </w:r>
      <w:r>
        <w:rPr>
          <w:rFonts w:hint="eastAsia" w:ascii="Times New Roman" w:hAnsi="Times New Roman" w:eastAsia="方正仿宋_GBK" w:cs="Times New Roman"/>
          <w:i w:val="0"/>
          <w:iCs w:val="0"/>
          <w:caps w:val="0"/>
          <w:color w:val="auto"/>
          <w:spacing w:val="0"/>
          <w:sz w:val="32"/>
          <w:szCs w:val="32"/>
          <w:highlight w:val="none"/>
          <w:shd w:val="clear" w:fill="FFFFFF"/>
          <w:lang w:eastAsia="zh-CN"/>
        </w:rPr>
        <w:t>年人</w:t>
      </w:r>
      <w:r>
        <w:rPr>
          <w:rFonts w:hint="default" w:ascii="Times New Roman" w:hAnsi="Times New Roman" w:eastAsia="方正仿宋_GBK" w:cs="Times New Roman"/>
          <w:i w:val="0"/>
          <w:iCs w:val="0"/>
          <w:caps w:val="0"/>
          <w:color w:val="auto"/>
          <w:spacing w:val="0"/>
          <w:sz w:val="32"/>
          <w:szCs w:val="32"/>
          <w:highlight w:val="none"/>
          <w:shd w:val="clear" w:fill="FFFFFF"/>
        </w:rPr>
        <w:t>群体“看病难、陪护难”这一急难愁盼问题，提升我区养老服务精细化、人性化水平，区民政局牵头全力推进老年人助医陪诊服务提升。</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因此，</w:t>
      </w:r>
      <w:r>
        <w:rPr>
          <w:rFonts w:hint="eastAsia" w:ascii="Times New Roman" w:hAnsi="Times New Roman" w:eastAsia="方正仿宋_GBK" w:cs="Times New Roman"/>
          <w:i w:val="0"/>
          <w:iCs w:val="0"/>
          <w:caps w:val="0"/>
          <w:color w:val="auto"/>
          <w:spacing w:val="0"/>
          <w:sz w:val="32"/>
          <w:szCs w:val="32"/>
          <w:highlight w:val="none"/>
          <w:shd w:val="clear" w:fill="FFFFFF"/>
        </w:rPr>
        <w:t>计划采购“</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秦淮</w:t>
      </w:r>
      <w:r>
        <w:rPr>
          <w:rFonts w:hint="eastAsia" w:ascii="Times New Roman" w:hAnsi="Times New Roman" w:eastAsia="方正仿宋_GBK" w:cs="Times New Roman"/>
          <w:i w:val="0"/>
          <w:iCs w:val="0"/>
          <w:caps w:val="0"/>
          <w:color w:val="auto"/>
          <w:spacing w:val="0"/>
          <w:sz w:val="32"/>
          <w:szCs w:val="32"/>
          <w:highlight w:val="none"/>
          <w:shd w:val="clear" w:fill="FFFFFF"/>
        </w:rPr>
        <w:t>区老年人助医陪诊服务培训项目”</w:t>
      </w:r>
      <w:r>
        <w:rPr>
          <w:rFonts w:hint="eastAsia" w:ascii="Times New Roman" w:hAnsi="Times New Roman" w:eastAsia="方正仿宋_GBK" w:cs="Times New Roman"/>
          <w:i w:val="0"/>
          <w:iCs w:val="0"/>
          <w:caps w:val="0"/>
          <w:color w:val="auto"/>
          <w:spacing w:val="0"/>
          <w:sz w:val="32"/>
          <w:szCs w:val="32"/>
          <w:highlight w:val="none"/>
          <w:shd w:val="clear" w:fill="FFFFFF"/>
          <w:lang w:eastAsia="zh-CN"/>
        </w:rPr>
        <w:t>，</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项目</w:t>
      </w:r>
      <w:r>
        <w:rPr>
          <w:rFonts w:hint="eastAsia" w:ascii="Times New Roman" w:hAnsi="Times New Roman" w:eastAsia="方正仿宋_GBK" w:cs="Times New Roman"/>
          <w:i w:val="0"/>
          <w:iCs w:val="0"/>
          <w:caps w:val="0"/>
          <w:color w:val="auto"/>
          <w:spacing w:val="0"/>
          <w:sz w:val="32"/>
          <w:szCs w:val="32"/>
          <w:highlight w:val="none"/>
          <w:shd w:val="clear" w:fill="FFFFFF"/>
        </w:rPr>
        <w:t>旨在通过</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系统</w:t>
      </w:r>
      <w:r>
        <w:rPr>
          <w:rFonts w:hint="eastAsia" w:ascii="Times New Roman" w:hAnsi="Times New Roman" w:eastAsia="方正仿宋_GBK" w:cs="Times New Roman"/>
          <w:i w:val="0"/>
          <w:iCs w:val="0"/>
          <w:caps w:val="0"/>
          <w:color w:val="auto"/>
          <w:spacing w:val="0"/>
          <w:sz w:val="32"/>
          <w:szCs w:val="32"/>
          <w:highlight w:val="none"/>
          <w:shd w:val="clear" w:fill="FFFFFF"/>
        </w:rPr>
        <w:t>、专业的培训，</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切实</w:t>
      </w:r>
      <w:r>
        <w:rPr>
          <w:rFonts w:hint="eastAsia" w:ascii="Times New Roman" w:hAnsi="Times New Roman" w:eastAsia="方正仿宋_GBK" w:cs="Times New Roman"/>
          <w:i w:val="0"/>
          <w:iCs w:val="0"/>
          <w:caps w:val="0"/>
          <w:color w:val="auto"/>
          <w:spacing w:val="0"/>
          <w:sz w:val="32"/>
          <w:szCs w:val="32"/>
          <w:highlight w:val="none"/>
          <w:shd w:val="clear" w:fill="FFFFFF"/>
        </w:rPr>
        <w:t>提升陪诊人员的服务技能、沟通能力及应急处置水平，</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建立健全</w:t>
      </w:r>
      <w:r>
        <w:rPr>
          <w:rFonts w:hint="eastAsia" w:ascii="Times New Roman" w:hAnsi="Times New Roman" w:eastAsia="方正仿宋_GBK" w:cs="Times New Roman"/>
          <w:i w:val="0"/>
          <w:iCs w:val="0"/>
          <w:caps w:val="0"/>
          <w:color w:val="auto"/>
          <w:spacing w:val="0"/>
          <w:sz w:val="32"/>
          <w:szCs w:val="32"/>
          <w:highlight w:val="none"/>
          <w:shd w:val="clear" w:fill="FFFFFF"/>
        </w:rPr>
        <w:t>助医陪诊队伍，从而为辖区老年人提供更优质、高效的陪诊服务。</w:t>
      </w:r>
    </w:p>
    <w:p w14:paraId="2CC77B84">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eastAsia" w:ascii="方正楷体_GBK" w:hAnsi="方正楷体_GBK" w:eastAsia="方正楷体_GBK" w:cs="方正楷体_GBK"/>
          <w:color w:val="auto"/>
          <w:sz w:val="32"/>
          <w:szCs w:val="32"/>
          <w:highlight w:val="none"/>
          <w:lang w:val="en-US" w:eastAsia="zh-CN"/>
        </w:rPr>
        <w:t>2、</w:t>
      </w:r>
      <w:r>
        <w:rPr>
          <w:rFonts w:hint="default" w:ascii="方正楷体_GBK" w:hAnsi="方正楷体_GBK" w:eastAsia="方正楷体_GBK" w:cs="方正楷体_GBK"/>
          <w:color w:val="auto"/>
          <w:sz w:val="32"/>
          <w:szCs w:val="32"/>
          <w:highlight w:val="none"/>
          <w:lang w:val="en-US" w:eastAsia="zh-CN"/>
        </w:rPr>
        <w:t>计划培训人数：</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150</w:t>
      </w:r>
      <w:r>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t>人。</w:t>
      </w:r>
    </w:p>
    <w:p w14:paraId="1BCE0B53">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eastAsia" w:ascii="方正楷体_GBK" w:hAnsi="方正楷体_GBK" w:eastAsia="方正楷体_GBK" w:cs="方正楷体_GBK"/>
          <w:color w:val="auto"/>
          <w:sz w:val="32"/>
          <w:szCs w:val="32"/>
          <w:highlight w:val="none"/>
          <w:lang w:val="en-US" w:eastAsia="zh-CN"/>
        </w:rPr>
        <w:t>3、合同履行期限</w:t>
      </w:r>
      <w:r>
        <w:rPr>
          <w:rFonts w:hint="eastAsia" w:ascii="Times New Roman" w:hAnsi="Times New Roman" w:eastAsia="方正仿宋_GBK" w:cs="Times New Roman"/>
          <w:i w:val="0"/>
          <w:iCs w:val="0"/>
          <w:caps w:val="0"/>
          <w:color w:val="auto"/>
          <w:spacing w:val="0"/>
          <w:sz w:val="32"/>
          <w:szCs w:val="32"/>
          <w:highlight w:val="none"/>
          <w:shd w:val="clear" w:fill="FFFFFF"/>
        </w:rPr>
        <w:t>：自合同签订之日起</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6</w:t>
      </w:r>
      <w:r>
        <w:rPr>
          <w:rFonts w:hint="eastAsia" w:ascii="Times New Roman" w:hAnsi="Times New Roman" w:eastAsia="方正仿宋_GBK" w:cs="Times New Roman"/>
          <w:i w:val="0"/>
          <w:iCs w:val="0"/>
          <w:caps w:val="0"/>
          <w:color w:val="auto"/>
          <w:spacing w:val="0"/>
          <w:sz w:val="32"/>
          <w:szCs w:val="32"/>
          <w:highlight w:val="none"/>
          <w:shd w:val="clear" w:fill="FFFFFF"/>
        </w:rPr>
        <w:t>0个日历日内完成。</w:t>
      </w:r>
    </w:p>
    <w:p w14:paraId="0519B944">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4、培训要求：</w:t>
      </w:r>
    </w:p>
    <w:p w14:paraId="5BB3F89C">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fill="FFFFFF"/>
        </w:rPr>
      </w:pP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（1）课程：</w:t>
      </w:r>
      <w:r>
        <w:rPr>
          <w:rFonts w:hint="eastAsia" w:ascii="Times New Roman" w:hAnsi="Times New Roman" w:eastAsia="方正仿宋_GBK" w:cs="Times New Roman"/>
          <w:i w:val="0"/>
          <w:iCs w:val="0"/>
          <w:caps w:val="0"/>
          <w:color w:val="auto"/>
          <w:spacing w:val="0"/>
          <w:sz w:val="32"/>
          <w:szCs w:val="32"/>
          <w:highlight w:val="none"/>
          <w:shd w:val="clear" w:fill="FFFFFF"/>
        </w:rPr>
        <w:t>培训内容应涵盖老</w:t>
      </w:r>
      <w:r>
        <w:rPr>
          <w:rFonts w:hint="eastAsia" w:ascii="Times New Roman" w:hAnsi="Times New Roman" w:eastAsia="方正仿宋_GBK" w:cs="Times New Roman"/>
          <w:i w:val="0"/>
          <w:iCs w:val="0"/>
          <w:caps w:val="0"/>
          <w:color w:val="auto"/>
          <w:spacing w:val="0"/>
          <w:sz w:val="32"/>
          <w:szCs w:val="32"/>
          <w:highlight w:val="none"/>
          <w:shd w:val="clear" w:fill="FFFFFF"/>
          <w:lang w:eastAsia="zh-CN"/>
        </w:rPr>
        <w:t>年人</w:t>
      </w:r>
      <w:r>
        <w:rPr>
          <w:rFonts w:hint="eastAsia" w:ascii="Times New Roman" w:hAnsi="Times New Roman" w:eastAsia="方正仿宋_GBK" w:cs="Times New Roman"/>
          <w:i w:val="0"/>
          <w:iCs w:val="0"/>
          <w:caps w:val="0"/>
          <w:color w:val="auto"/>
          <w:spacing w:val="0"/>
          <w:sz w:val="32"/>
          <w:szCs w:val="32"/>
          <w:highlight w:val="none"/>
          <w:shd w:val="clear" w:fill="FFFFFF"/>
        </w:rPr>
        <w:t>常见病陪护要点、医院就诊流程导航、医患沟通技巧、智能设备就医辅助、应急救护知识、老年人心理疏导、服务规范与伦理、相关政策法规等。通过培训实现学员掌握助医陪诊服务政策法规及职业规范，熟练操作医院智能终端、跨院转诊流程，具有服务意识。</w:t>
      </w:r>
    </w:p>
    <w:p w14:paraId="135B3E1B">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fill="FFFFFF"/>
        </w:rPr>
      </w:pPr>
      <w:r>
        <w:rPr>
          <w:rFonts w:hint="eastAsia" w:ascii="Times New Roman" w:hAnsi="Times New Roman" w:eastAsia="方正仿宋_GBK" w:cs="Times New Roman"/>
          <w:i w:val="0"/>
          <w:iCs w:val="0"/>
          <w:caps w:val="0"/>
          <w:color w:val="auto"/>
          <w:spacing w:val="0"/>
          <w:sz w:val="32"/>
          <w:szCs w:val="32"/>
          <w:highlight w:val="none"/>
          <w:shd w:val="clear" w:fill="FFFFFF"/>
          <w:lang w:eastAsia="zh-CN"/>
        </w:rPr>
        <w:t>（</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2</w:t>
      </w:r>
      <w:r>
        <w:rPr>
          <w:rFonts w:hint="eastAsia" w:ascii="Times New Roman" w:hAnsi="Times New Roman" w:eastAsia="方正仿宋_GBK" w:cs="Times New Roman"/>
          <w:i w:val="0"/>
          <w:iCs w:val="0"/>
          <w:caps w:val="0"/>
          <w:color w:val="auto"/>
          <w:spacing w:val="0"/>
          <w:sz w:val="32"/>
          <w:szCs w:val="32"/>
          <w:highlight w:val="none"/>
          <w:shd w:val="clear" w:fill="FFFFFF"/>
          <w:lang w:eastAsia="zh-CN"/>
        </w:rPr>
        <w:t>）</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课时：</w:t>
      </w:r>
      <w:r>
        <w:rPr>
          <w:rFonts w:hint="eastAsia" w:ascii="Times New Roman" w:hAnsi="Times New Roman" w:eastAsia="方正仿宋_GBK" w:cs="Times New Roman"/>
          <w:i w:val="0"/>
          <w:iCs w:val="0"/>
          <w:caps w:val="0"/>
          <w:color w:val="auto"/>
          <w:spacing w:val="0"/>
          <w:sz w:val="32"/>
          <w:szCs w:val="32"/>
          <w:highlight w:val="none"/>
          <w:shd w:val="clear" w:fill="FFFFFF"/>
        </w:rPr>
        <w:t>采用“理论授课+实操演练+案例分析”</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相结合</w:t>
      </w:r>
      <w:r>
        <w:rPr>
          <w:rFonts w:hint="eastAsia" w:ascii="Times New Roman" w:hAnsi="Times New Roman" w:eastAsia="方正仿宋_GBK" w:cs="Times New Roman"/>
          <w:i w:val="0"/>
          <w:iCs w:val="0"/>
          <w:caps w:val="0"/>
          <w:color w:val="auto"/>
          <w:spacing w:val="0"/>
          <w:sz w:val="32"/>
          <w:szCs w:val="32"/>
          <w:highlight w:val="none"/>
          <w:shd w:val="clear" w:fill="FFFFFF"/>
        </w:rPr>
        <w:t>形式开展培训，培训学时应不少于56课时，且其中实操课时应不少于12课时。</w:t>
      </w:r>
    </w:p>
    <w:p w14:paraId="0D2FB404">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eastAsia" w:ascii="Times New Roman" w:hAnsi="Times New Roman" w:eastAsia="方正仿宋_GBK" w:cs="Times New Roman"/>
          <w:i w:val="0"/>
          <w:iCs w:val="0"/>
          <w:caps w:val="0"/>
          <w:color w:val="auto"/>
          <w:spacing w:val="0"/>
          <w:sz w:val="32"/>
          <w:szCs w:val="32"/>
          <w:highlight w:val="none"/>
          <w:shd w:val="clear" w:fill="FFFFFF"/>
          <w:lang w:eastAsia="zh-CN"/>
        </w:rPr>
        <w:t>（</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3</w:t>
      </w:r>
      <w:r>
        <w:rPr>
          <w:rFonts w:hint="eastAsia" w:ascii="Times New Roman" w:hAnsi="Times New Roman" w:eastAsia="方正仿宋_GBK" w:cs="Times New Roman"/>
          <w:i w:val="0"/>
          <w:iCs w:val="0"/>
          <w:caps w:val="0"/>
          <w:color w:val="auto"/>
          <w:spacing w:val="0"/>
          <w:sz w:val="32"/>
          <w:szCs w:val="32"/>
          <w:highlight w:val="none"/>
          <w:shd w:val="clear" w:fill="FFFFFF"/>
          <w:lang w:eastAsia="zh-CN"/>
        </w:rPr>
        <w:t>）</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师资：</w:t>
      </w:r>
      <w:r>
        <w:rPr>
          <w:rFonts w:hint="eastAsia" w:ascii="Times New Roman" w:hAnsi="Times New Roman" w:eastAsia="方正仿宋_GBK" w:cs="Times New Roman"/>
          <w:i w:val="0"/>
          <w:iCs w:val="0"/>
          <w:caps w:val="0"/>
          <w:color w:val="auto"/>
          <w:spacing w:val="0"/>
          <w:sz w:val="32"/>
          <w:szCs w:val="32"/>
          <w:highlight w:val="none"/>
          <w:shd w:val="clear" w:fill="FFFFFF"/>
        </w:rPr>
        <w:t>讲师团队需含至少1名执业医师或注册护士、1名老年服务专家或</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初级以上</w:t>
      </w:r>
      <w:r>
        <w:rPr>
          <w:rFonts w:hint="eastAsia" w:ascii="Times New Roman" w:hAnsi="Times New Roman" w:eastAsia="方正仿宋_GBK" w:cs="Times New Roman"/>
          <w:i w:val="0"/>
          <w:iCs w:val="0"/>
          <w:caps w:val="0"/>
          <w:color w:val="auto"/>
          <w:spacing w:val="0"/>
          <w:sz w:val="32"/>
          <w:szCs w:val="32"/>
          <w:highlight w:val="none"/>
          <w:shd w:val="clear" w:fill="FFFFFF"/>
        </w:rPr>
        <w:t>社工</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师</w:t>
      </w:r>
      <w:r>
        <w:rPr>
          <w:rFonts w:hint="eastAsia" w:ascii="Times New Roman" w:hAnsi="Times New Roman" w:eastAsia="方正仿宋_GBK" w:cs="Times New Roman"/>
          <w:i w:val="0"/>
          <w:iCs w:val="0"/>
          <w:caps w:val="0"/>
          <w:color w:val="auto"/>
          <w:spacing w:val="0"/>
          <w:sz w:val="32"/>
          <w:szCs w:val="32"/>
          <w:highlight w:val="none"/>
          <w:shd w:val="clear" w:fill="FFFFFF"/>
          <w:lang w:eastAsia="zh-CN"/>
        </w:rPr>
        <w:t>；</w:t>
      </w:r>
      <w:r>
        <w:rPr>
          <w:rFonts w:hint="eastAsia" w:ascii="Times New Roman" w:hAnsi="Times New Roman" w:eastAsia="方正仿宋_GBK" w:cs="Times New Roman"/>
          <w:i w:val="0"/>
          <w:iCs w:val="0"/>
          <w:caps w:val="0"/>
          <w:color w:val="auto"/>
          <w:spacing w:val="0"/>
          <w:sz w:val="32"/>
          <w:szCs w:val="32"/>
          <w:highlight w:val="none"/>
          <w:shd w:val="clear" w:fill="FFFFFF"/>
        </w:rPr>
        <w:t>由具备相关专业中级以上职称或5年以上</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工作</w:t>
      </w:r>
      <w:r>
        <w:rPr>
          <w:rFonts w:hint="eastAsia" w:ascii="Times New Roman" w:hAnsi="Times New Roman" w:eastAsia="方正仿宋_GBK" w:cs="Times New Roman"/>
          <w:i w:val="0"/>
          <w:iCs w:val="0"/>
          <w:caps w:val="0"/>
          <w:color w:val="auto"/>
          <w:spacing w:val="0"/>
          <w:sz w:val="32"/>
          <w:szCs w:val="32"/>
          <w:highlight w:val="none"/>
          <w:shd w:val="clear" w:fill="FFFFFF"/>
        </w:rPr>
        <w:t>经验的讲师授课，提供师资证明备查</w:t>
      </w:r>
      <w:r>
        <w:rPr>
          <w:rFonts w:hint="eastAsia" w:ascii="Times New Roman" w:hAnsi="Times New Roman" w:eastAsia="方正仿宋_GBK" w:cs="Times New Roman"/>
          <w:i w:val="0"/>
          <w:iCs w:val="0"/>
          <w:caps w:val="0"/>
          <w:color w:val="auto"/>
          <w:spacing w:val="0"/>
          <w:sz w:val="32"/>
          <w:szCs w:val="32"/>
          <w:highlight w:val="none"/>
          <w:shd w:val="clear" w:fill="FFFFFF"/>
          <w:lang w:eastAsia="zh-CN"/>
        </w:rPr>
        <w:t>。</w:t>
      </w:r>
    </w:p>
    <w:p w14:paraId="03780282">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fill="FFFFFF"/>
        </w:rPr>
      </w:pP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（4）教务：</w:t>
      </w:r>
      <w:r>
        <w:rPr>
          <w:rFonts w:hint="eastAsia" w:ascii="Times New Roman" w:hAnsi="Times New Roman" w:eastAsia="方正仿宋_GBK" w:cs="Times New Roman"/>
          <w:i w:val="0"/>
          <w:iCs w:val="0"/>
          <w:caps w:val="0"/>
          <w:color w:val="auto"/>
          <w:spacing w:val="0"/>
          <w:sz w:val="32"/>
          <w:szCs w:val="32"/>
          <w:highlight w:val="none"/>
          <w:shd w:val="clear" w:fill="FFFFFF"/>
        </w:rPr>
        <w:t>组织开班仪式</w:t>
      </w:r>
      <w:r>
        <w:rPr>
          <w:rFonts w:hint="eastAsia" w:ascii="Times New Roman" w:hAnsi="Times New Roman" w:eastAsia="方正仿宋_GBK" w:cs="Times New Roman"/>
          <w:i w:val="0"/>
          <w:iCs w:val="0"/>
          <w:caps w:val="0"/>
          <w:color w:val="auto"/>
          <w:spacing w:val="0"/>
          <w:sz w:val="32"/>
          <w:szCs w:val="32"/>
          <w:highlight w:val="none"/>
          <w:shd w:val="clear" w:fill="FFFFFF"/>
          <w:lang w:eastAsia="zh-CN"/>
        </w:rPr>
        <w:t>、</w:t>
      </w:r>
      <w:r>
        <w:rPr>
          <w:rFonts w:hint="eastAsia" w:ascii="Times New Roman" w:hAnsi="Times New Roman" w:eastAsia="方正仿宋_GBK" w:cs="Times New Roman"/>
          <w:i w:val="0"/>
          <w:iCs w:val="0"/>
          <w:caps w:val="0"/>
          <w:color w:val="auto"/>
          <w:spacing w:val="0"/>
          <w:sz w:val="32"/>
          <w:szCs w:val="32"/>
          <w:highlight w:val="none"/>
          <w:shd w:val="clear" w:fill="FFFFFF"/>
        </w:rPr>
        <w:t>结业考核及结业仪式。</w:t>
      </w:r>
    </w:p>
    <w:p w14:paraId="567571D0">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eastAsia" w:ascii="Times New Roman" w:hAnsi="Times New Roman" w:eastAsia="方正仿宋_GBK" w:cs="Times New Roman"/>
          <w:i w:val="0"/>
          <w:iCs w:val="0"/>
          <w:caps w:val="0"/>
          <w:color w:val="auto"/>
          <w:spacing w:val="0"/>
          <w:sz w:val="32"/>
          <w:szCs w:val="32"/>
          <w:highlight w:val="none"/>
          <w:shd w:val="clear" w:fill="FFFFFF"/>
          <w:lang w:eastAsia="zh-CN"/>
        </w:rPr>
        <w:t>（</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5</w:t>
      </w:r>
      <w:r>
        <w:rPr>
          <w:rFonts w:hint="eastAsia" w:ascii="Times New Roman" w:hAnsi="Times New Roman" w:eastAsia="方正仿宋_GBK" w:cs="Times New Roman"/>
          <w:i w:val="0"/>
          <w:iCs w:val="0"/>
          <w:caps w:val="0"/>
          <w:color w:val="auto"/>
          <w:spacing w:val="0"/>
          <w:sz w:val="32"/>
          <w:szCs w:val="32"/>
          <w:highlight w:val="none"/>
          <w:shd w:val="clear" w:fill="FFFFFF"/>
          <w:lang w:eastAsia="zh-CN"/>
        </w:rPr>
        <w:t>）</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宣传：至少进行一次媒体宣传报道。</w:t>
      </w:r>
    </w:p>
    <w:p w14:paraId="2B86EC9A">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5、结项验收：</w:t>
      </w:r>
    </w:p>
    <w:p w14:paraId="1B7076FC">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应于培训结束后10个工作日内提交如下材料：</w:t>
      </w:r>
    </w:p>
    <w:p w14:paraId="19400230">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（1）学员考核成绩单及合格证书照片；</w:t>
      </w:r>
    </w:p>
    <w:p w14:paraId="3DD9AF4B">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（2）培训佐证材料，包括：学员手册、签到表、水印照片、考核成绩单等；</w:t>
      </w:r>
    </w:p>
    <w:p w14:paraId="2B2B3E0E">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（3）带水印的现场授课照片/视频；</w:t>
      </w:r>
    </w:p>
    <w:p w14:paraId="689A653F">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（4）结项报告。</w:t>
      </w:r>
    </w:p>
    <w:p w14:paraId="678F320B">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6、付款条件：</w:t>
      </w:r>
    </w:p>
    <w:p w14:paraId="118D54EC">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（1）项目合同签订后30个工作日内，支付合同款的4</w:t>
      </w:r>
      <w:bookmarkStart w:id="2" w:name="_GoBack"/>
      <w:bookmarkEnd w:id="2"/>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0%；项目完成后，经验收合格，扣除应扣款项后支付剩余余款。</w:t>
      </w:r>
    </w:p>
    <w:p w14:paraId="41573C17">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（2）</w:t>
      </w:r>
      <w:r>
        <w:rPr>
          <w:rFonts w:hint="eastAsia" w:ascii="Times New Roman" w:hAnsi="Times New Roman" w:eastAsia="方正仿宋_GBK" w:cs="Times New Roman"/>
          <w:i w:val="0"/>
          <w:iCs w:val="0"/>
          <w:caps w:val="0"/>
          <w:color w:val="auto"/>
          <w:spacing w:val="0"/>
          <w:sz w:val="32"/>
          <w:szCs w:val="32"/>
          <w:highlight w:val="none"/>
          <w:shd w:val="clear" w:fill="FFFFFF"/>
        </w:rPr>
        <w:t>考核通过率应在90%以上</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（含90%）</w:t>
      </w:r>
      <w:r>
        <w:rPr>
          <w:rFonts w:hint="eastAsia" w:ascii="Times New Roman" w:hAnsi="Times New Roman" w:eastAsia="方正仿宋_GBK" w:cs="Times New Roman"/>
          <w:i w:val="0"/>
          <w:iCs w:val="0"/>
          <w:caps w:val="0"/>
          <w:color w:val="auto"/>
          <w:spacing w:val="0"/>
          <w:sz w:val="32"/>
          <w:szCs w:val="32"/>
          <w:highlight w:val="none"/>
          <w:shd w:val="clear" w:fill="FFFFFF"/>
        </w:rPr>
        <w:t>，并为通过考核的学员发放结业证书。</w:t>
      </w: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若考核通过率低于90%，扣减相应比例费用，即：扣减金额=（90%-考核通过率）*（单价*培训人数）。</w:t>
      </w:r>
    </w:p>
    <w:p w14:paraId="5EDA7AEA">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eastAsia" w:ascii="Times New Roman" w:hAnsi="Times New Roman" w:eastAsia="方正仿宋_GBK" w:cs="Times New Roman"/>
          <w:i w:val="0"/>
          <w:iCs w:val="0"/>
          <w:caps w:val="0"/>
          <w:color w:val="auto"/>
          <w:spacing w:val="0"/>
          <w:sz w:val="32"/>
          <w:szCs w:val="32"/>
          <w:highlight w:val="none"/>
          <w:shd w:val="clear" w:fill="FFFFFF"/>
          <w:lang w:val="en-US" w:eastAsia="zh-CN"/>
        </w:rPr>
        <w:t>（3）每次付款前，中标供应商须提供等额发票，否则采购人有权拒绝付款。因财政审批等原因导致的迟延支付，采购人不承担迟延支付的违约责任。</w:t>
      </w:r>
    </w:p>
    <w:p w14:paraId="7A2A9E9C">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7、其他需要提醒的事项</w:t>
      </w:r>
    </w:p>
    <w:p w14:paraId="6D94E8B0">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方正仿宋_GBK" w:hAnsi="方正仿宋_GBK" w:eastAsia="方正仿宋_GBK" w:cs="方正仿宋_GBK"/>
          <w:bCs/>
          <w:kern w:val="0"/>
          <w:sz w:val="32"/>
          <w:szCs w:val="32"/>
          <w:highlight w:val="none"/>
        </w:rPr>
      </w:pPr>
      <w:r>
        <w:rPr>
          <w:rFonts w:hint="eastAsia" w:ascii="方正仿宋_GBK" w:hAnsi="方正仿宋_GBK" w:eastAsia="方正仿宋_GBK" w:cs="方正仿宋_GBK"/>
          <w:bCs/>
          <w:kern w:val="0"/>
          <w:sz w:val="32"/>
          <w:szCs w:val="32"/>
          <w:highlight w:val="none"/>
          <w:lang w:eastAsia="zh-CN"/>
        </w:rPr>
        <w:t>（</w:t>
      </w:r>
      <w:r>
        <w:rPr>
          <w:rFonts w:hint="eastAsia" w:ascii="方正仿宋_GBK" w:hAnsi="方正仿宋_GBK" w:eastAsia="方正仿宋_GBK" w:cs="方正仿宋_GBK"/>
          <w:bCs/>
          <w:kern w:val="0"/>
          <w:sz w:val="32"/>
          <w:szCs w:val="32"/>
          <w:highlight w:val="none"/>
          <w:lang w:val="en-US" w:eastAsia="zh-CN"/>
        </w:rPr>
        <w:t>1</w:t>
      </w:r>
      <w:r>
        <w:rPr>
          <w:rFonts w:hint="eastAsia" w:ascii="方正仿宋_GBK" w:hAnsi="方正仿宋_GBK" w:eastAsia="方正仿宋_GBK" w:cs="方正仿宋_GBK"/>
          <w:bCs/>
          <w:kern w:val="0"/>
          <w:sz w:val="32"/>
          <w:szCs w:val="32"/>
          <w:highlight w:val="none"/>
          <w:lang w:eastAsia="zh-CN"/>
        </w:rPr>
        <w:t>）</w:t>
      </w:r>
      <w:r>
        <w:rPr>
          <w:rFonts w:hint="eastAsia" w:ascii="方正仿宋_GBK" w:hAnsi="方正仿宋_GBK" w:eastAsia="方正仿宋_GBK" w:cs="方正仿宋_GBK"/>
          <w:bCs/>
          <w:kern w:val="0"/>
          <w:sz w:val="32"/>
          <w:szCs w:val="32"/>
          <w:highlight w:val="none"/>
        </w:rPr>
        <w:t>接受采购人的工作指导、监督和评估，全力配合采购人和上级职能部门安排的工作检查、项目验收等事项；积极配合并接受民政部门以及财政部门对本采购人单位开展的项目监督检查、绩效评估以及资金使用的审计等事宜；</w:t>
      </w:r>
    </w:p>
    <w:p w14:paraId="4BD91DEE">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方正仿宋_GBK" w:hAnsi="方正仿宋_GBK" w:eastAsia="方正仿宋_GBK" w:cs="方正仿宋_GBK"/>
          <w:bCs/>
          <w:kern w:val="0"/>
          <w:sz w:val="32"/>
          <w:szCs w:val="32"/>
          <w:highlight w:val="none"/>
          <w:lang w:eastAsia="zh-CN"/>
        </w:rPr>
      </w:pPr>
      <w:r>
        <w:rPr>
          <w:rFonts w:hint="eastAsia" w:ascii="方正仿宋_GBK" w:hAnsi="方正仿宋_GBK" w:eastAsia="方正仿宋_GBK" w:cs="方正仿宋_GBK"/>
          <w:bCs/>
          <w:kern w:val="0"/>
          <w:sz w:val="32"/>
          <w:szCs w:val="32"/>
          <w:highlight w:val="none"/>
          <w:lang w:eastAsia="zh-CN"/>
        </w:rPr>
        <w:t>（</w:t>
      </w:r>
      <w:r>
        <w:rPr>
          <w:rFonts w:hint="eastAsia" w:ascii="方正仿宋_GBK" w:hAnsi="方正仿宋_GBK" w:eastAsia="方正仿宋_GBK" w:cs="方正仿宋_GBK"/>
          <w:bCs/>
          <w:kern w:val="0"/>
          <w:sz w:val="32"/>
          <w:szCs w:val="32"/>
          <w:highlight w:val="none"/>
          <w:lang w:val="en-US" w:eastAsia="zh-CN"/>
        </w:rPr>
        <w:t>2</w:t>
      </w:r>
      <w:r>
        <w:rPr>
          <w:rFonts w:hint="eastAsia" w:ascii="方正仿宋_GBK" w:hAnsi="方正仿宋_GBK" w:eastAsia="方正仿宋_GBK" w:cs="方正仿宋_GBK"/>
          <w:bCs/>
          <w:kern w:val="0"/>
          <w:sz w:val="32"/>
          <w:szCs w:val="32"/>
          <w:highlight w:val="none"/>
          <w:lang w:eastAsia="zh-CN"/>
        </w:rPr>
        <w:t>）</w:t>
      </w:r>
      <w:r>
        <w:rPr>
          <w:rFonts w:hint="eastAsia" w:ascii="方正仿宋_GBK" w:hAnsi="方正仿宋_GBK" w:eastAsia="方正仿宋_GBK" w:cs="方正仿宋_GBK"/>
          <w:bCs/>
          <w:kern w:val="0"/>
          <w:sz w:val="32"/>
          <w:szCs w:val="32"/>
          <w:highlight w:val="none"/>
        </w:rPr>
        <w:t>本项目成交后不允许分包、转包</w:t>
      </w:r>
      <w:r>
        <w:rPr>
          <w:rFonts w:hint="eastAsia" w:ascii="方正仿宋_GBK" w:hAnsi="方正仿宋_GBK" w:eastAsia="方正仿宋_GBK" w:cs="方正仿宋_GBK"/>
          <w:bCs/>
          <w:kern w:val="0"/>
          <w:sz w:val="32"/>
          <w:szCs w:val="32"/>
          <w:highlight w:val="none"/>
          <w:lang w:eastAsia="zh-CN"/>
        </w:rPr>
        <w:t>；</w:t>
      </w:r>
    </w:p>
    <w:p w14:paraId="7FCC47B0">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方正仿宋_GBK" w:hAnsi="方正仿宋_GBK" w:eastAsia="方正仿宋_GBK" w:cs="方正仿宋_GBK"/>
          <w:bCs/>
          <w:kern w:val="0"/>
          <w:sz w:val="32"/>
          <w:szCs w:val="32"/>
          <w:highlight w:val="none"/>
        </w:rPr>
      </w:pPr>
      <w:r>
        <w:rPr>
          <w:rFonts w:hint="eastAsia" w:ascii="方正仿宋_GBK" w:hAnsi="方正仿宋_GBK" w:eastAsia="方正仿宋_GBK" w:cs="方正仿宋_GBK"/>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i w:val="0"/>
          <w:iCs w:val="0"/>
          <w:caps w:val="0"/>
          <w:color w:val="auto"/>
          <w:spacing w:val="0"/>
          <w:sz w:val="32"/>
          <w:szCs w:val="32"/>
          <w:highlight w:val="none"/>
          <w:shd w:val="clear" w:fill="FFFFFF"/>
          <w:lang w:val="en-US" w:eastAsia="zh-CN"/>
        </w:rPr>
        <w:t>3</w:t>
      </w:r>
      <w:r>
        <w:rPr>
          <w:rFonts w:hint="eastAsia" w:ascii="方正仿宋_GBK" w:hAnsi="方正仿宋_GBK" w:eastAsia="方正仿宋_GBK" w:cs="方正仿宋_GBK"/>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Cs/>
          <w:kern w:val="0"/>
          <w:sz w:val="32"/>
          <w:szCs w:val="32"/>
          <w:highlight w:val="none"/>
        </w:rPr>
        <w:t>维护政府形象，不可借助该场地从事保健品推销等违法行为，不可在该场地超范围开展应当取得职能部门许可而未经许可，或职能部门禁止从事的其他相关业务；无负面舆论报道；</w:t>
      </w:r>
    </w:p>
    <w:p w14:paraId="28E38E15">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方正仿宋_GBK" w:hAnsi="方正仿宋_GBK" w:eastAsia="方正仿宋_GBK" w:cs="方正仿宋_GBK"/>
          <w:bCs/>
          <w:kern w:val="0"/>
          <w:sz w:val="32"/>
          <w:szCs w:val="32"/>
          <w:highlight w:val="none"/>
        </w:rPr>
      </w:pPr>
      <w:r>
        <w:rPr>
          <w:rFonts w:hint="eastAsia" w:ascii="方正仿宋_GBK" w:hAnsi="方正仿宋_GBK" w:eastAsia="方正仿宋_GBK" w:cs="方正仿宋_GBK"/>
          <w:bCs/>
          <w:kern w:val="0"/>
          <w:sz w:val="32"/>
          <w:szCs w:val="32"/>
          <w:highlight w:val="none"/>
          <w:lang w:eastAsia="zh-CN"/>
        </w:rPr>
        <w:t>（</w:t>
      </w:r>
      <w:r>
        <w:rPr>
          <w:rFonts w:hint="eastAsia" w:ascii="方正仿宋_GBK" w:hAnsi="方正仿宋_GBK" w:eastAsia="方正仿宋_GBK" w:cs="方正仿宋_GBK"/>
          <w:bCs/>
          <w:kern w:val="0"/>
          <w:sz w:val="32"/>
          <w:szCs w:val="32"/>
          <w:highlight w:val="none"/>
          <w:lang w:val="en-US" w:eastAsia="zh-CN"/>
        </w:rPr>
        <w:t>4</w:t>
      </w:r>
      <w:r>
        <w:rPr>
          <w:rFonts w:hint="eastAsia" w:ascii="方正仿宋_GBK" w:hAnsi="方正仿宋_GBK" w:eastAsia="方正仿宋_GBK" w:cs="方正仿宋_GBK"/>
          <w:bCs/>
          <w:kern w:val="0"/>
          <w:sz w:val="32"/>
          <w:szCs w:val="32"/>
          <w:highlight w:val="none"/>
          <w:lang w:eastAsia="zh-CN"/>
        </w:rPr>
        <w:t>）</w:t>
      </w:r>
      <w:r>
        <w:rPr>
          <w:rFonts w:hint="eastAsia" w:ascii="方正仿宋_GBK" w:hAnsi="方正仿宋_GBK" w:eastAsia="方正仿宋_GBK" w:cs="方正仿宋_GBK"/>
          <w:bCs/>
          <w:kern w:val="0"/>
          <w:sz w:val="32"/>
          <w:szCs w:val="32"/>
          <w:highlight w:val="none"/>
        </w:rPr>
        <w:t>供应商必须对项目技术文件以及由采购人提供的所有内部资料、技术文档、数据和信息予以保密。未经采购人书面许可，中标供应商不得以任何形式向第三方透露本项目标的任何内容。不得泄露服务对象隐私信息或利用其信息开展营利性服务；供应商应对在服务过程中知悉的采购人的商业秘密、工作计划、内部资料等信息予以保密，未经采购人书面同意，不得向任何第三方披露或使用。</w:t>
      </w:r>
    </w:p>
    <w:p w14:paraId="0504BFE2">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方正仿宋_GBK" w:hAnsi="方正仿宋_GBK" w:eastAsia="方正仿宋_GBK" w:cs="方正仿宋_GBK"/>
          <w:bCs/>
          <w:kern w:val="0"/>
          <w:sz w:val="32"/>
          <w:szCs w:val="32"/>
          <w:highlight w:val="none"/>
        </w:rPr>
      </w:pPr>
      <w:r>
        <w:rPr>
          <w:rFonts w:hint="eastAsia" w:ascii="方正仿宋_GBK" w:hAnsi="方正仿宋_GBK" w:eastAsia="方正仿宋_GBK" w:cs="方正仿宋_GBK"/>
          <w:bCs/>
          <w:kern w:val="0"/>
          <w:sz w:val="32"/>
          <w:szCs w:val="32"/>
          <w:highlight w:val="none"/>
          <w:lang w:eastAsia="zh-CN"/>
        </w:rPr>
        <w:t>（</w:t>
      </w:r>
      <w:r>
        <w:rPr>
          <w:rFonts w:hint="eastAsia" w:ascii="方正仿宋_GBK" w:hAnsi="方正仿宋_GBK" w:eastAsia="方正仿宋_GBK" w:cs="方正仿宋_GBK"/>
          <w:bCs/>
          <w:kern w:val="0"/>
          <w:sz w:val="32"/>
          <w:szCs w:val="32"/>
          <w:highlight w:val="none"/>
          <w:lang w:val="en-US" w:eastAsia="zh-CN"/>
        </w:rPr>
        <w:t>5</w:t>
      </w:r>
      <w:r>
        <w:rPr>
          <w:rFonts w:hint="eastAsia" w:ascii="方正仿宋_GBK" w:hAnsi="方正仿宋_GBK" w:eastAsia="方正仿宋_GBK" w:cs="方正仿宋_GBK"/>
          <w:bCs/>
          <w:kern w:val="0"/>
          <w:sz w:val="32"/>
          <w:szCs w:val="32"/>
          <w:highlight w:val="none"/>
          <w:lang w:eastAsia="zh-CN"/>
        </w:rPr>
        <w:t>）</w:t>
      </w:r>
      <w:r>
        <w:rPr>
          <w:rFonts w:hint="eastAsia" w:ascii="方正仿宋_GBK" w:hAnsi="方正仿宋_GBK" w:eastAsia="方正仿宋_GBK" w:cs="方正仿宋_GBK"/>
          <w:bCs/>
          <w:kern w:val="0"/>
          <w:sz w:val="32"/>
          <w:szCs w:val="32"/>
          <w:highlight w:val="none"/>
        </w:rPr>
        <w:t>供应商保证其对履行本合同交付的工作成果、使用的技术手段或提供的服务内容涉及的各方面均享有完全的法律权利或获得充分的授权。服务机构因自身的权利瑕疵或侵权行为使得本合同履行侵犯任何第三方合法权益的，均</w:t>
      </w:r>
      <w:r>
        <w:rPr>
          <w:rFonts w:hint="eastAsia" w:ascii="方正仿宋_GBK" w:hAnsi="方正仿宋_GBK" w:eastAsia="方正仿宋_GBK" w:cs="方正仿宋_GBK"/>
          <w:bCs/>
          <w:kern w:val="0"/>
          <w:sz w:val="32"/>
          <w:szCs w:val="32"/>
          <w:highlight w:val="none"/>
          <w:lang w:val="en-US" w:eastAsia="zh-CN"/>
        </w:rPr>
        <w:t>由供应商</w:t>
      </w:r>
      <w:r>
        <w:rPr>
          <w:rFonts w:hint="eastAsia" w:ascii="方正仿宋_GBK" w:hAnsi="方正仿宋_GBK" w:eastAsia="方正仿宋_GBK" w:cs="方正仿宋_GBK"/>
          <w:bCs/>
          <w:kern w:val="0"/>
          <w:sz w:val="32"/>
          <w:szCs w:val="32"/>
          <w:highlight w:val="none"/>
        </w:rPr>
        <w:t>自行承担所有法律责任。</w:t>
      </w:r>
    </w:p>
    <w:p w14:paraId="66A16124">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方正仿宋_GBK" w:hAnsi="方正仿宋_GBK" w:eastAsia="方正仿宋_GBK" w:cs="方正仿宋_GBK"/>
          <w:bCs/>
          <w:kern w:val="0"/>
          <w:sz w:val="32"/>
          <w:szCs w:val="32"/>
          <w:highlight w:val="none"/>
        </w:rPr>
      </w:pPr>
      <w:r>
        <w:rPr>
          <w:rFonts w:hint="eastAsia" w:ascii="方正仿宋_GBK" w:hAnsi="方正仿宋_GBK" w:eastAsia="方正仿宋_GBK" w:cs="方正仿宋_GBK"/>
          <w:bCs/>
          <w:kern w:val="0"/>
          <w:sz w:val="32"/>
          <w:szCs w:val="32"/>
          <w:highlight w:val="none"/>
          <w:lang w:eastAsia="zh-CN"/>
        </w:rPr>
        <w:t>（</w:t>
      </w:r>
      <w:r>
        <w:rPr>
          <w:rFonts w:hint="eastAsia" w:ascii="方正仿宋_GBK" w:hAnsi="方正仿宋_GBK" w:eastAsia="方正仿宋_GBK" w:cs="方正仿宋_GBK"/>
          <w:bCs/>
          <w:kern w:val="0"/>
          <w:sz w:val="32"/>
          <w:szCs w:val="32"/>
          <w:highlight w:val="none"/>
          <w:lang w:val="en-US" w:eastAsia="zh-CN"/>
        </w:rPr>
        <w:t>6</w:t>
      </w:r>
      <w:r>
        <w:rPr>
          <w:rFonts w:hint="eastAsia" w:ascii="方正仿宋_GBK" w:hAnsi="方正仿宋_GBK" w:eastAsia="方正仿宋_GBK" w:cs="方正仿宋_GBK"/>
          <w:bCs/>
          <w:kern w:val="0"/>
          <w:sz w:val="32"/>
          <w:szCs w:val="32"/>
          <w:highlight w:val="none"/>
          <w:lang w:eastAsia="zh-CN"/>
        </w:rPr>
        <w:t>）</w:t>
      </w:r>
      <w:r>
        <w:rPr>
          <w:rFonts w:hint="eastAsia" w:ascii="方正仿宋_GBK" w:hAnsi="方正仿宋_GBK" w:eastAsia="方正仿宋_GBK" w:cs="方正仿宋_GBK"/>
          <w:bCs/>
          <w:kern w:val="0"/>
          <w:sz w:val="32"/>
          <w:szCs w:val="32"/>
          <w:highlight w:val="none"/>
        </w:rPr>
        <w:t>供应商的任何错漏、优惠、竞争性报价不得作为减轻责任、减少服务、增加收费、降低服务质量的理由。</w:t>
      </w:r>
    </w:p>
    <w:p w14:paraId="6D3F5413">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宋体" w:hAnsi="宋体" w:cs="宋体"/>
          <w:bCs/>
          <w:kern w:val="0"/>
          <w:sz w:val="32"/>
          <w:szCs w:val="32"/>
          <w:highlight w:val="none"/>
          <w:lang w:val="en-US" w:eastAsia="zh-CN"/>
        </w:rPr>
      </w:pPr>
      <w:r>
        <w:rPr>
          <w:rFonts w:hint="eastAsia" w:ascii="方正仿宋_GBK" w:hAnsi="方正仿宋_GBK" w:eastAsia="方正仿宋_GBK" w:cs="方正仿宋_GBK"/>
          <w:bCs/>
          <w:kern w:val="0"/>
          <w:sz w:val="32"/>
          <w:szCs w:val="32"/>
          <w:highlight w:val="none"/>
          <w:lang w:eastAsia="zh-CN"/>
        </w:rPr>
        <w:t>（</w:t>
      </w:r>
      <w:r>
        <w:rPr>
          <w:rFonts w:hint="eastAsia" w:ascii="方正仿宋_GBK" w:hAnsi="方正仿宋_GBK" w:eastAsia="方正仿宋_GBK" w:cs="方正仿宋_GBK"/>
          <w:bCs/>
          <w:kern w:val="0"/>
          <w:sz w:val="32"/>
          <w:szCs w:val="32"/>
          <w:highlight w:val="none"/>
          <w:lang w:val="en-US" w:eastAsia="zh-CN"/>
        </w:rPr>
        <w:t>7</w:t>
      </w:r>
      <w:r>
        <w:rPr>
          <w:rFonts w:hint="eastAsia" w:ascii="方正仿宋_GBK" w:hAnsi="方正仿宋_GBK" w:eastAsia="方正仿宋_GBK" w:cs="方正仿宋_GBK"/>
          <w:bCs/>
          <w:kern w:val="0"/>
          <w:sz w:val="32"/>
          <w:szCs w:val="32"/>
          <w:highlight w:val="none"/>
          <w:lang w:eastAsia="zh-CN"/>
        </w:rPr>
        <w:t>）</w:t>
      </w:r>
      <w:r>
        <w:rPr>
          <w:rFonts w:hint="eastAsia" w:ascii="方正仿宋_GBK" w:hAnsi="方正仿宋_GBK" w:eastAsia="方正仿宋_GBK" w:cs="方正仿宋_GBK"/>
          <w:bCs/>
          <w:kern w:val="0"/>
          <w:sz w:val="32"/>
          <w:szCs w:val="32"/>
          <w:highlight w:val="none"/>
        </w:rPr>
        <w:t>供应商报价除包含采购文件中列明的项目外还应包括保障服务正常运行应当具有的物资和服务，对服务正常运行应当具有的物资和服务理解不一致的以采购人理解为准。供应商应为项目实施配备足够的项目团队，如因成交供应商投入人员过少</w:t>
      </w:r>
      <w:r>
        <w:rPr>
          <w:rFonts w:hint="eastAsia" w:ascii="方正仿宋_GBK" w:hAnsi="方正仿宋_GBK" w:eastAsia="方正仿宋_GBK" w:cs="方正仿宋_GBK"/>
          <w:bCs/>
          <w:kern w:val="0"/>
          <w:sz w:val="32"/>
          <w:szCs w:val="32"/>
          <w:highlight w:val="none"/>
          <w:lang w:val="en-US" w:eastAsia="zh-CN"/>
        </w:rPr>
        <w:t>等</w:t>
      </w:r>
      <w:r>
        <w:rPr>
          <w:rFonts w:hint="eastAsia" w:ascii="方正仿宋_GBK" w:hAnsi="方正仿宋_GBK" w:eastAsia="方正仿宋_GBK" w:cs="方正仿宋_GBK"/>
          <w:bCs/>
          <w:kern w:val="0"/>
          <w:sz w:val="32"/>
          <w:szCs w:val="32"/>
          <w:highlight w:val="none"/>
        </w:rPr>
        <w:t>原因，造成无法在承诺服务期内完成服务，由此产生的一切责任由成交供应商承担。报价应包含与本次采购项目有关的所有费用。包含但不限于人员工资、教材、授课费、培训费、场地费、道具、售后服务、伴随配套服务等所有含税费用。</w:t>
      </w:r>
    </w:p>
    <w:p w14:paraId="14A990F2">
      <w:pPr>
        <w:keepNext w:val="0"/>
        <w:keepLines w:val="0"/>
        <w:pageBreakBefore w:val="0"/>
        <w:widowControl/>
        <w:numPr>
          <w:ilvl w:val="0"/>
          <w:numId w:val="1"/>
        </w:numPr>
        <w:kinsoku/>
        <w:wordWrap/>
        <w:overflowPunct/>
        <w:topLinePunct w:val="0"/>
        <w:autoSpaceDE w:val="0"/>
        <w:autoSpaceDN w:val="0"/>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报名事宜</w:t>
      </w:r>
    </w:p>
    <w:p w14:paraId="0BCF0166">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1、资料提交时间</w:t>
      </w:r>
      <w:r>
        <w:rPr>
          <w:rFonts w:hint="default" w:ascii="Times New Roman" w:hAnsi="Times New Roman" w:eastAsia="方正仿宋_GBK" w:cs="方正仿宋_GBK"/>
          <w:color w:val="auto"/>
          <w:sz w:val="32"/>
          <w:szCs w:val="32"/>
          <w:highlight w:val="none"/>
          <w:lang w:val="en-US" w:eastAsia="zh-CN"/>
        </w:rPr>
        <w:t>：2025年</w:t>
      </w:r>
      <w:r>
        <w:rPr>
          <w:rFonts w:hint="eastAsia" w:ascii="Times New Roman" w:hAnsi="Times New Roman" w:eastAsia="方正仿宋_GBK" w:cs="方正仿宋_GBK"/>
          <w:color w:val="auto"/>
          <w:sz w:val="32"/>
          <w:szCs w:val="32"/>
          <w:highlight w:val="none"/>
          <w:lang w:val="en-US" w:eastAsia="zh-CN"/>
        </w:rPr>
        <w:t>7</w:t>
      </w:r>
      <w:r>
        <w:rPr>
          <w:rFonts w:hint="default" w:ascii="Times New Roman" w:hAnsi="Times New Roman" w:eastAsia="方正仿宋_GBK" w:cs="方正仿宋_GBK"/>
          <w:color w:val="auto"/>
          <w:sz w:val="32"/>
          <w:szCs w:val="32"/>
          <w:highlight w:val="none"/>
          <w:lang w:val="en-US" w:eastAsia="zh-CN"/>
        </w:rPr>
        <w:t>月</w:t>
      </w:r>
      <w:r>
        <w:rPr>
          <w:rFonts w:hint="eastAsia" w:ascii="Times New Roman" w:hAnsi="Times New Roman" w:eastAsia="方正仿宋_GBK" w:cs="方正仿宋_GBK"/>
          <w:color w:val="auto"/>
          <w:sz w:val="32"/>
          <w:szCs w:val="32"/>
          <w:highlight w:val="none"/>
          <w:lang w:val="en-US" w:eastAsia="zh-CN"/>
        </w:rPr>
        <w:t>24</w:t>
      </w:r>
      <w:r>
        <w:rPr>
          <w:rFonts w:hint="default" w:ascii="Times New Roman" w:hAnsi="Times New Roman" w:eastAsia="方正仿宋_GBK" w:cs="方正仿宋_GBK"/>
          <w:color w:val="auto"/>
          <w:sz w:val="32"/>
          <w:szCs w:val="32"/>
          <w:highlight w:val="none"/>
          <w:lang w:val="en-US" w:eastAsia="zh-CN"/>
        </w:rPr>
        <w:t>日-2025年</w:t>
      </w:r>
      <w:r>
        <w:rPr>
          <w:rFonts w:hint="eastAsia" w:ascii="Times New Roman" w:hAnsi="Times New Roman" w:eastAsia="方正仿宋_GBK" w:cs="方正仿宋_GBK"/>
          <w:color w:val="auto"/>
          <w:sz w:val="32"/>
          <w:szCs w:val="32"/>
          <w:highlight w:val="none"/>
          <w:lang w:val="en-US" w:eastAsia="zh-CN"/>
        </w:rPr>
        <w:t>7</w:t>
      </w:r>
      <w:r>
        <w:rPr>
          <w:rFonts w:hint="default" w:ascii="Times New Roman" w:hAnsi="Times New Roman" w:eastAsia="方正仿宋_GBK" w:cs="方正仿宋_GBK"/>
          <w:color w:val="auto"/>
          <w:sz w:val="32"/>
          <w:szCs w:val="32"/>
          <w:highlight w:val="none"/>
          <w:lang w:val="en-US" w:eastAsia="zh-CN"/>
        </w:rPr>
        <w:t>月</w:t>
      </w:r>
      <w:r>
        <w:rPr>
          <w:rFonts w:hint="eastAsia" w:ascii="Times New Roman" w:hAnsi="Times New Roman" w:eastAsia="方正仿宋_GBK" w:cs="方正仿宋_GBK"/>
          <w:color w:val="auto"/>
          <w:sz w:val="32"/>
          <w:szCs w:val="32"/>
          <w:highlight w:val="none"/>
          <w:lang w:val="en-US" w:eastAsia="zh-CN"/>
        </w:rPr>
        <w:t>30</w:t>
      </w:r>
      <w:r>
        <w:rPr>
          <w:rFonts w:hint="default" w:ascii="Times New Roman" w:hAnsi="Times New Roman" w:eastAsia="方正仿宋_GBK" w:cs="方正仿宋_GBK"/>
          <w:color w:val="auto"/>
          <w:sz w:val="32"/>
          <w:szCs w:val="32"/>
          <w:highlight w:val="none"/>
          <w:lang w:val="en-US" w:eastAsia="zh-CN"/>
        </w:rPr>
        <w:t>日，每天9:00-12:00，14:00-18:00</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北京时间，法定节假日除外</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请各潜在供应商以附件形式</w:t>
      </w:r>
      <w:r>
        <w:rPr>
          <w:rFonts w:hint="eastAsia" w:ascii="Times New Roman" w:hAnsi="Times New Roman" w:eastAsia="方正仿宋_GBK" w:cs="方正仿宋_GBK"/>
          <w:color w:val="auto"/>
          <w:sz w:val="32"/>
          <w:szCs w:val="32"/>
          <w:highlight w:val="none"/>
          <w:lang w:val="en-US" w:eastAsia="zh-CN"/>
        </w:rPr>
        <w:t xml:space="preserve">提供以下文件：                                                                                                                                                                                                                      </w:t>
      </w:r>
    </w:p>
    <w:p w14:paraId="22E285DA">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（1）</w:t>
      </w:r>
      <w:r>
        <w:rPr>
          <w:rFonts w:hint="default" w:ascii="Times New Roman" w:hAnsi="Times New Roman" w:eastAsia="方正仿宋_GBK" w:cs="方正仿宋_GBK"/>
          <w:color w:val="auto"/>
          <w:sz w:val="32"/>
          <w:szCs w:val="32"/>
          <w:highlight w:val="none"/>
          <w:lang w:val="en-US" w:eastAsia="zh-CN"/>
        </w:rPr>
        <w:t>供应商的营业执照副本或社会组织法人登记证书复印件加盖公章</w:t>
      </w:r>
      <w:r>
        <w:rPr>
          <w:rFonts w:hint="eastAsia" w:ascii="Times New Roman" w:hAnsi="Times New Roman" w:eastAsia="方正仿宋_GBK" w:cs="方正仿宋_GBK"/>
          <w:color w:val="auto"/>
          <w:sz w:val="32"/>
          <w:szCs w:val="32"/>
          <w:highlight w:val="none"/>
          <w:lang w:val="en-US" w:eastAsia="zh-CN"/>
        </w:rPr>
        <w:t>；</w:t>
      </w:r>
    </w:p>
    <w:p w14:paraId="312F9201">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（2）</w:t>
      </w:r>
      <w:r>
        <w:rPr>
          <w:rFonts w:hint="default" w:ascii="Times New Roman" w:hAnsi="Times New Roman" w:eastAsia="方正仿宋_GBK" w:cs="方正仿宋_GBK"/>
          <w:color w:val="auto"/>
          <w:sz w:val="32"/>
          <w:szCs w:val="32"/>
          <w:highlight w:val="none"/>
          <w:lang w:val="en-US" w:eastAsia="zh-CN"/>
        </w:rPr>
        <w:t>供应商授权委托书原件和委托代理人的身份证原件及复印件加盖公章</w:t>
      </w:r>
      <w:r>
        <w:rPr>
          <w:rFonts w:hint="eastAsia" w:ascii="Times New Roman" w:hAnsi="Times New Roman" w:eastAsia="方正仿宋_GBK" w:cs="方正仿宋_GBK"/>
          <w:color w:val="auto"/>
          <w:sz w:val="32"/>
          <w:szCs w:val="32"/>
          <w:highlight w:val="none"/>
          <w:lang w:val="en-US" w:eastAsia="zh-CN"/>
        </w:rPr>
        <w:t>。</w:t>
      </w:r>
    </w:p>
    <w:p w14:paraId="0CE47DD7">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2、</w:t>
      </w:r>
      <w:r>
        <w:rPr>
          <w:rFonts w:hint="default" w:ascii="Times New Roman" w:hAnsi="Times New Roman" w:eastAsia="方正仿宋_GBK" w:cs="方正仿宋_GBK"/>
          <w:color w:val="auto"/>
          <w:sz w:val="32"/>
          <w:szCs w:val="32"/>
          <w:highlight w:val="none"/>
          <w:lang w:val="en-US" w:eastAsia="zh-CN"/>
        </w:rPr>
        <w:t>采购人根据采购项目的特殊要求规定的特定条件证明材料复印件加盖公章</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并在邮件正文中备注单位</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全称</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、法定代表人、授权委托人、联系电话、项目名称发送至采购人单位邮箱</w:t>
      </w:r>
      <w:r>
        <w:rPr>
          <w:rFonts w:hint="eastAsia" w:ascii="Times New Roman" w:hAnsi="Times New Roman" w:eastAsia="方正仿宋_GBK" w:cs="方正仿宋_GBK"/>
          <w:color w:val="auto"/>
          <w:sz w:val="32"/>
          <w:szCs w:val="32"/>
          <w:highlight w:val="none"/>
          <w:lang w:val="en-US" w:eastAsia="zh-CN"/>
        </w:rPr>
        <w:t>（qhylfwk@163.com）</w:t>
      </w:r>
      <w:r>
        <w:rPr>
          <w:rFonts w:hint="default" w:ascii="Times New Roman" w:hAnsi="Times New Roman" w:eastAsia="方正仿宋_GBK" w:cs="方正仿宋_GBK"/>
          <w:color w:val="auto"/>
          <w:sz w:val="32"/>
          <w:szCs w:val="32"/>
          <w:highlight w:val="none"/>
          <w:lang w:val="en-US" w:eastAsia="zh-CN"/>
        </w:rPr>
        <w:t>，采购人将在收到邮件后回复供应商是否通过审核，请各供应商留意邮箱情况，审核通过后采购人提供电子版采购文件。</w:t>
      </w:r>
    </w:p>
    <w:p w14:paraId="163D8238">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3、</w:t>
      </w:r>
      <w:r>
        <w:rPr>
          <w:rFonts w:hint="default" w:ascii="Times New Roman" w:hAnsi="Times New Roman" w:eastAsia="方正仿宋_GBK" w:cs="方正仿宋_GBK"/>
          <w:color w:val="auto"/>
          <w:sz w:val="32"/>
          <w:szCs w:val="32"/>
          <w:highlight w:val="none"/>
          <w:lang w:val="en-US" w:eastAsia="zh-CN"/>
        </w:rPr>
        <w:t>提交响应文件时间、地点</w:t>
      </w:r>
    </w:p>
    <w:p w14:paraId="04B6E8AB">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（1）时间：2025年</w:t>
      </w:r>
      <w:r>
        <w:rPr>
          <w:rFonts w:hint="eastAsia" w:ascii="Times New Roman" w:hAnsi="Times New Roman" w:eastAsia="方正仿宋_GBK" w:cs="方正仿宋_GBK"/>
          <w:color w:val="auto"/>
          <w:sz w:val="32"/>
          <w:szCs w:val="32"/>
          <w:highlight w:val="none"/>
          <w:lang w:val="en-US" w:eastAsia="zh-CN"/>
        </w:rPr>
        <w:t>8</w:t>
      </w:r>
      <w:r>
        <w:rPr>
          <w:rFonts w:hint="default" w:ascii="Times New Roman" w:hAnsi="Times New Roman" w:eastAsia="方正仿宋_GBK" w:cs="方正仿宋_GBK"/>
          <w:color w:val="auto"/>
          <w:sz w:val="32"/>
          <w:szCs w:val="32"/>
          <w:highlight w:val="none"/>
          <w:lang w:val="en-US" w:eastAsia="zh-CN"/>
        </w:rPr>
        <w:t>月</w:t>
      </w:r>
      <w:r>
        <w:rPr>
          <w:rFonts w:hint="eastAsia" w:ascii="Times New Roman" w:hAnsi="Times New Roman" w:eastAsia="方正仿宋_GBK" w:cs="方正仿宋_GBK"/>
          <w:color w:val="auto"/>
          <w:sz w:val="32"/>
          <w:szCs w:val="32"/>
          <w:highlight w:val="none"/>
          <w:lang w:val="en-US" w:eastAsia="zh-CN"/>
        </w:rPr>
        <w:t>1</w:t>
      </w:r>
      <w:r>
        <w:rPr>
          <w:rFonts w:hint="default" w:ascii="Times New Roman" w:hAnsi="Times New Roman" w:eastAsia="方正仿宋_GBK" w:cs="方正仿宋_GBK"/>
          <w:color w:val="auto"/>
          <w:sz w:val="32"/>
          <w:szCs w:val="32"/>
          <w:highlight w:val="none"/>
          <w:lang w:val="en-US" w:eastAsia="zh-CN"/>
        </w:rPr>
        <w:t>日</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北京时间</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，若因工作安排导致时间变动，将电话通知各报名供应商。</w:t>
      </w:r>
    </w:p>
    <w:p w14:paraId="223D0485">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（2）地点：南京市秦淮区解放路20号秦淮区民政局21</w:t>
      </w:r>
      <w:r>
        <w:rPr>
          <w:rFonts w:hint="eastAsia" w:ascii="Times New Roman" w:hAnsi="Times New Roman" w:eastAsia="方正仿宋_GBK" w:cs="方正仿宋_GBK"/>
          <w:color w:val="auto"/>
          <w:sz w:val="32"/>
          <w:szCs w:val="32"/>
          <w:highlight w:val="none"/>
          <w:lang w:val="en-US" w:eastAsia="zh-CN"/>
        </w:rPr>
        <w:t>6</w:t>
      </w:r>
      <w:r>
        <w:rPr>
          <w:rFonts w:hint="default" w:ascii="Times New Roman" w:hAnsi="Times New Roman" w:eastAsia="方正仿宋_GBK" w:cs="方正仿宋_GBK"/>
          <w:color w:val="auto"/>
          <w:sz w:val="32"/>
          <w:szCs w:val="32"/>
          <w:highlight w:val="none"/>
          <w:lang w:val="en-US" w:eastAsia="zh-CN"/>
        </w:rPr>
        <w:t>办公室</w:t>
      </w:r>
    </w:p>
    <w:p w14:paraId="18E877DC">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（3）</w:t>
      </w:r>
      <w:r>
        <w:rPr>
          <w:rFonts w:hint="default" w:ascii="Times New Roman" w:hAnsi="Times New Roman" w:eastAsia="方正仿宋_GBK" w:cs="方正仿宋_GBK"/>
          <w:color w:val="auto"/>
          <w:sz w:val="32"/>
          <w:szCs w:val="32"/>
          <w:highlight w:val="none"/>
          <w:lang w:val="en-US" w:eastAsia="zh-CN"/>
        </w:rPr>
        <w:t>份数：一式叁份</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壹份正本、贰份副本</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，每份响应文件须清楚标明“正本”或“副本”字样</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胶装成册</w:t>
      </w:r>
      <w:r>
        <w:rPr>
          <w:rFonts w:hint="eastAsia" w:ascii="Times New Roman" w:hAnsi="Times New Roman" w:eastAsia="方正仿宋_GBK" w:cs="方正仿宋_GBK"/>
          <w:color w:val="auto"/>
          <w:sz w:val="32"/>
          <w:szCs w:val="32"/>
          <w:highlight w:val="none"/>
          <w:lang w:val="en-US" w:eastAsia="zh-CN"/>
        </w:rPr>
        <w:t>。</w:t>
      </w:r>
    </w:p>
    <w:p w14:paraId="2B676606">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4、</w:t>
      </w:r>
      <w:r>
        <w:rPr>
          <w:rFonts w:hint="eastAsia" w:ascii="Times New Roman" w:hAnsi="Times New Roman" w:eastAsia="方正仿宋_GBK" w:cs="方正仿宋_GBK"/>
          <w:color w:val="auto"/>
          <w:sz w:val="32"/>
          <w:szCs w:val="32"/>
          <w:highlight w:val="none"/>
          <w:lang w:eastAsia="zh-CN"/>
        </w:rPr>
        <w:t>供应商信用承诺函（</w:t>
      </w:r>
      <w:r>
        <w:rPr>
          <w:rFonts w:hint="eastAsia" w:ascii="Times New Roman" w:hAnsi="Times New Roman" w:eastAsia="方正仿宋_GBK" w:cs="方正仿宋_GBK"/>
          <w:color w:val="auto"/>
          <w:sz w:val="32"/>
          <w:szCs w:val="32"/>
          <w:highlight w:val="none"/>
          <w:lang w:val="en-US" w:eastAsia="zh-CN"/>
        </w:rPr>
        <w:t>格式如下</w:t>
      </w:r>
      <w:r>
        <w:rPr>
          <w:rFonts w:hint="eastAsia" w:ascii="Times New Roman" w:hAnsi="Times New Roman" w:eastAsia="方正仿宋_GBK" w:cs="方正仿宋_GBK"/>
          <w:color w:val="auto"/>
          <w:sz w:val="32"/>
          <w:szCs w:val="32"/>
          <w:highlight w:val="none"/>
          <w:lang w:eastAsia="zh-CN"/>
        </w:rPr>
        <w:t>）</w:t>
      </w:r>
    </w:p>
    <w:p w14:paraId="3D8567E5">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eastAsia="zh-CN"/>
        </w:rPr>
        <w:t>我公司</w:t>
      </w:r>
      <w:r>
        <w:rPr>
          <w:rFonts w:hint="eastAsia" w:ascii="Times New Roman" w:hAnsi="Times New Roman" w:eastAsia="方正仿宋_GBK" w:cs="方正仿宋_GBK"/>
          <w:color w:val="auto"/>
          <w:sz w:val="32"/>
          <w:szCs w:val="32"/>
          <w:highlight w:val="none"/>
          <w:u w:val="single"/>
          <w:lang w:eastAsia="zh-CN"/>
        </w:rPr>
        <w:t xml:space="preserve">                             </w:t>
      </w:r>
      <w:r>
        <w:rPr>
          <w:rFonts w:hint="eastAsia" w:ascii="Times New Roman" w:hAnsi="Times New Roman" w:eastAsia="方正仿宋_GBK" w:cs="方正仿宋_GBK"/>
          <w:color w:val="auto"/>
          <w:sz w:val="32"/>
          <w:szCs w:val="32"/>
          <w:highlight w:val="none"/>
          <w:lang w:eastAsia="zh-CN"/>
        </w:rPr>
        <w:t>（供应商名称）郑重承诺：</w:t>
      </w:r>
    </w:p>
    <w:p w14:paraId="60B2D1A6">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eastAsia="zh-CN"/>
        </w:rPr>
        <w:t>我公司符合下列要求：</w:t>
      </w:r>
    </w:p>
    <w:p w14:paraId="3670491A">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eastAsia="zh-CN"/>
        </w:rPr>
        <w:t>(一)具有独立承担民事责任的能力；</w:t>
      </w:r>
    </w:p>
    <w:p w14:paraId="5D79B67D">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eastAsia="zh-CN"/>
        </w:rPr>
        <w:t>(二)具有良好的商业信誉和健全的财务会计制度；</w:t>
      </w:r>
    </w:p>
    <w:p w14:paraId="48F32E44">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eastAsia="zh-CN"/>
        </w:rPr>
        <w:t>(三)具有履行合同所必需的设备和专业技术能力；</w:t>
      </w:r>
    </w:p>
    <w:p w14:paraId="0C32C729">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eastAsia="zh-CN"/>
        </w:rPr>
        <w:t>(四)有依法缴纳税收和社会保障资金的良好记录；</w:t>
      </w:r>
    </w:p>
    <w:p w14:paraId="593E30F3">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eastAsia="zh-CN"/>
        </w:rPr>
        <w:t>(五)参加政府采购活动前三年内，在经营活动中没有重大违法记录。</w:t>
      </w:r>
    </w:p>
    <w:p w14:paraId="5346353B">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eastAsia="zh-CN"/>
        </w:rPr>
        <w:t>本公司对上述承诺内容的真实性、合法性、有效性负责，如有虚假，将依法承担相应责任。</w:t>
      </w:r>
    </w:p>
    <w:p w14:paraId="6C8EBC8C">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3840" w:firstLineChars="1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eastAsia="zh-CN"/>
        </w:rPr>
        <w:t>供应商名称：（加盖公章）</w:t>
      </w:r>
    </w:p>
    <w:p w14:paraId="41907DF7">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4480" w:firstLineChars="14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eastAsia="zh-CN"/>
        </w:rPr>
        <w:t>日  期：</w:t>
      </w:r>
    </w:p>
    <w:p w14:paraId="7DFDFAB2">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5、特定资格条件</w:t>
      </w:r>
      <w:r>
        <w:rPr>
          <w:rFonts w:hint="eastAsia" w:ascii="Times New Roman" w:hAnsi="Times New Roman" w:eastAsia="方正仿宋_GBK" w:cs="方正仿宋_GBK"/>
          <w:color w:val="auto"/>
          <w:sz w:val="32"/>
          <w:szCs w:val="32"/>
          <w:highlight w:val="none"/>
          <w:lang w:eastAsia="zh-CN"/>
        </w:rPr>
        <w:t>：供应商具备相应的办学许可资质（提供有效期内的办学许可资质复印件并加盖公章）</w:t>
      </w:r>
    </w:p>
    <w:p w14:paraId="54413F9D">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6</w:t>
      </w:r>
      <w:r>
        <w:rPr>
          <w:rFonts w:hint="default" w:ascii="Times New Roman" w:hAnsi="Times New Roman" w:eastAsia="方正仿宋_GBK" w:cs="方正仿宋_GBK"/>
          <w:color w:val="auto"/>
          <w:sz w:val="32"/>
          <w:szCs w:val="32"/>
          <w:highlight w:val="none"/>
          <w:lang w:val="en-US" w:eastAsia="zh-CN"/>
        </w:rPr>
        <w:t>、采购单位联系方式采购人：</w:t>
      </w:r>
      <w:r>
        <w:rPr>
          <w:rFonts w:hint="eastAsia" w:ascii="Times New Roman" w:hAnsi="Times New Roman" w:eastAsia="方正仿宋_GBK" w:cs="方正仿宋_GBK"/>
          <w:color w:val="auto"/>
          <w:sz w:val="32"/>
          <w:szCs w:val="32"/>
          <w:highlight w:val="none"/>
          <w:lang w:val="en-US" w:eastAsia="zh-CN"/>
        </w:rPr>
        <w:t>张武定</w:t>
      </w:r>
    </w:p>
    <w:p w14:paraId="7B5BF39F">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联系电话：025-</w:t>
      </w:r>
      <w:r>
        <w:rPr>
          <w:rFonts w:hint="eastAsia" w:ascii="Times New Roman" w:hAnsi="Times New Roman" w:eastAsia="方正仿宋_GBK" w:cs="方正仿宋_GBK"/>
          <w:color w:val="auto"/>
          <w:sz w:val="32"/>
          <w:szCs w:val="32"/>
          <w:highlight w:val="none"/>
          <w:lang w:val="en-US" w:eastAsia="zh-CN"/>
        </w:rPr>
        <w:t>52377177、84556286</w:t>
      </w:r>
    </w:p>
    <w:p w14:paraId="1EAEE97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jc w:val="left"/>
        <w:textAlignment w:val="baseline"/>
        <w:rPr>
          <w:rFonts w:hint="default" w:ascii="Times New Roman" w:hAnsi="Times New Roman" w:eastAsia="方正仿宋_GBK" w:cs="Times New Roman"/>
          <w:spacing w:val="29"/>
          <w:sz w:val="32"/>
          <w:szCs w:val="32"/>
          <w:highlight w:val="none"/>
          <w:lang w:eastAsia="zh-CN"/>
        </w:rPr>
      </w:pPr>
    </w:p>
    <w:p w14:paraId="42CE9B1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4536" w:firstLineChars="1200"/>
        <w:jc w:val="left"/>
        <w:textAlignment w:val="baseline"/>
        <w:rPr>
          <w:rFonts w:hint="default" w:ascii="Times New Roman" w:hAnsi="Times New Roman" w:eastAsia="方正仿宋_GBK" w:cs="Times New Roman"/>
          <w:spacing w:val="29"/>
          <w:sz w:val="32"/>
          <w:szCs w:val="32"/>
          <w:highlight w:val="none"/>
          <w:lang w:eastAsia="zh-CN"/>
        </w:rPr>
      </w:pPr>
    </w:p>
    <w:p w14:paraId="4A1D68E4">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5120" w:firstLineChars="16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南京市秦淮区民政局</w:t>
      </w:r>
    </w:p>
    <w:p w14:paraId="4F97704E">
      <w:pPr>
        <w:keepNext w:val="0"/>
        <w:keepLines w:val="0"/>
        <w:pageBreakBefore w:val="0"/>
        <w:widowControl/>
        <w:numPr>
          <w:ilvl w:val="0"/>
          <w:numId w:val="0"/>
        </w:numPr>
        <w:kinsoku/>
        <w:wordWrap/>
        <w:overflowPunct/>
        <w:topLinePunct w:val="0"/>
        <w:autoSpaceDE w:val="0"/>
        <w:autoSpaceDN w:val="0"/>
        <w:bidi w:val="0"/>
        <w:adjustRightInd/>
        <w:snapToGrid/>
        <w:spacing w:line="560" w:lineRule="exact"/>
        <w:ind w:firstLine="5440" w:firstLineChars="17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2025年</w:t>
      </w:r>
      <w:r>
        <w:rPr>
          <w:rFonts w:hint="eastAsia" w:ascii="Times New Roman" w:hAnsi="Times New Roman" w:eastAsia="方正仿宋_GBK" w:cs="方正仿宋_GBK"/>
          <w:color w:val="auto"/>
          <w:sz w:val="32"/>
          <w:szCs w:val="32"/>
          <w:highlight w:val="none"/>
          <w:lang w:val="en-US" w:eastAsia="zh-CN"/>
        </w:rPr>
        <w:t>7</w:t>
      </w:r>
      <w:r>
        <w:rPr>
          <w:rFonts w:hint="default" w:ascii="Times New Roman" w:hAnsi="Times New Roman" w:eastAsia="方正仿宋_GBK" w:cs="方正仿宋_GBK"/>
          <w:color w:val="auto"/>
          <w:sz w:val="32"/>
          <w:szCs w:val="32"/>
          <w:highlight w:val="none"/>
          <w:lang w:val="en-US" w:eastAsia="zh-CN"/>
        </w:rPr>
        <w:t>月</w:t>
      </w:r>
      <w:r>
        <w:rPr>
          <w:rFonts w:hint="eastAsia" w:ascii="Times New Roman" w:hAnsi="Times New Roman" w:eastAsia="方正仿宋_GBK" w:cs="方正仿宋_GBK"/>
          <w:color w:val="auto"/>
          <w:sz w:val="32"/>
          <w:szCs w:val="32"/>
          <w:highlight w:val="none"/>
          <w:lang w:val="en-US" w:eastAsia="zh-CN"/>
        </w:rPr>
        <w:t>23</w:t>
      </w:r>
      <w:r>
        <w:rPr>
          <w:rFonts w:hint="default" w:ascii="Times New Roman" w:hAnsi="Times New Roman" w:eastAsia="方正仿宋_GBK" w:cs="方正仿宋_GBK"/>
          <w:color w:val="auto"/>
          <w:sz w:val="32"/>
          <w:szCs w:val="32"/>
          <w:highlight w:val="none"/>
          <w:lang w:val="en-US" w:eastAsia="zh-CN"/>
        </w:rPr>
        <w:t>日</w:t>
      </w:r>
    </w:p>
    <w:p w14:paraId="4EB9D524">
      <w:pPr>
        <w:pStyle w:val="2"/>
        <w:rPr>
          <w:rFonts w:hint="default" w:ascii="Times New Roman" w:hAnsi="Times New Roman" w:eastAsia="方正仿宋_GBK" w:cs="方正仿宋_GBK"/>
          <w:color w:val="auto"/>
          <w:sz w:val="32"/>
          <w:szCs w:val="32"/>
          <w:highlight w:val="none"/>
          <w:lang w:val="en-US" w:eastAsia="zh-CN"/>
        </w:rPr>
      </w:pPr>
    </w:p>
    <w:p w14:paraId="3A85F4A7">
      <w:pPr>
        <w:pStyle w:val="2"/>
        <w:rPr>
          <w:rFonts w:hint="default" w:ascii="Times New Roman" w:hAnsi="Times New Roman" w:eastAsia="方正仿宋_GBK" w:cs="方正仿宋_GBK"/>
          <w:color w:val="auto"/>
          <w:sz w:val="32"/>
          <w:szCs w:val="32"/>
          <w:highlight w:val="none"/>
          <w:lang w:val="en-US" w:eastAsia="zh-CN"/>
        </w:rPr>
      </w:pPr>
    </w:p>
    <w:p w14:paraId="36CEB03E">
      <w:pPr>
        <w:pStyle w:val="2"/>
        <w:rPr>
          <w:rFonts w:hint="default" w:ascii="Times New Roman" w:hAnsi="Times New Roman" w:eastAsia="方正仿宋_GBK" w:cs="方正仿宋_GBK"/>
          <w:color w:val="auto"/>
          <w:sz w:val="32"/>
          <w:szCs w:val="32"/>
          <w:highlight w:val="none"/>
          <w:lang w:val="en-US" w:eastAsia="zh-CN"/>
        </w:rPr>
      </w:pPr>
    </w:p>
    <w:p w14:paraId="2C25F7CA">
      <w:pPr>
        <w:pStyle w:val="2"/>
        <w:rPr>
          <w:rFonts w:hint="default" w:ascii="Times New Roman" w:hAnsi="Times New Roman" w:eastAsia="方正仿宋_GBK" w:cs="方正仿宋_GBK"/>
          <w:color w:val="auto"/>
          <w:sz w:val="32"/>
          <w:szCs w:val="32"/>
          <w:highlight w:val="none"/>
          <w:lang w:val="en-US" w:eastAsia="zh-CN"/>
        </w:rPr>
      </w:pPr>
    </w:p>
    <w:p w14:paraId="746D8C6E">
      <w:pPr>
        <w:pStyle w:val="2"/>
        <w:rPr>
          <w:rFonts w:hint="default" w:ascii="Times New Roman" w:hAnsi="Times New Roman" w:eastAsia="方正仿宋_GBK" w:cs="方正仿宋_GBK"/>
          <w:color w:val="auto"/>
          <w:sz w:val="32"/>
          <w:szCs w:val="32"/>
          <w:highlight w:val="none"/>
          <w:lang w:val="en-US" w:eastAsia="zh-CN"/>
        </w:rPr>
      </w:pPr>
    </w:p>
    <w:p w14:paraId="6B81AE19">
      <w:pPr>
        <w:pStyle w:val="2"/>
        <w:rPr>
          <w:rFonts w:hint="default" w:ascii="Times New Roman" w:hAnsi="Times New Roman" w:eastAsia="方正仿宋_GBK" w:cs="方正仿宋_GBK"/>
          <w:color w:val="auto"/>
          <w:sz w:val="32"/>
          <w:szCs w:val="32"/>
          <w:highlight w:val="none"/>
          <w:lang w:val="en-US" w:eastAsia="zh-CN"/>
        </w:rPr>
      </w:pPr>
    </w:p>
    <w:p w14:paraId="6A6B4182">
      <w:pPr>
        <w:pStyle w:val="2"/>
        <w:rPr>
          <w:rFonts w:hint="default" w:ascii="Times New Roman" w:hAnsi="Times New Roman" w:eastAsia="方正仿宋_GBK" w:cs="方正仿宋_GBK"/>
          <w:color w:val="auto"/>
          <w:sz w:val="32"/>
          <w:szCs w:val="32"/>
          <w:highlight w:val="none"/>
          <w:lang w:val="en-US" w:eastAsia="zh-CN"/>
        </w:rPr>
      </w:pPr>
    </w:p>
    <w:p w14:paraId="3F575F18">
      <w:pPr>
        <w:pStyle w:val="2"/>
        <w:rPr>
          <w:rFonts w:hint="default" w:ascii="Times New Roman" w:hAnsi="Times New Roman" w:eastAsia="方正仿宋_GBK" w:cs="方正仿宋_GBK"/>
          <w:color w:val="auto"/>
          <w:sz w:val="32"/>
          <w:szCs w:val="32"/>
          <w:highlight w:val="none"/>
          <w:lang w:val="en-US" w:eastAsia="zh-CN"/>
        </w:rPr>
      </w:pPr>
    </w:p>
    <w:p w14:paraId="2F7AC9F0">
      <w:pPr>
        <w:rPr>
          <w:rFonts w:hint="eastAsia" w:ascii="Times New Roman" w:hAnsi="Times New Roman" w:eastAsia="方正仿宋_GBK" w:cs="方正仿宋_GBK"/>
          <w:i w:val="0"/>
          <w:caps w:val="0"/>
          <w:color w:val="auto"/>
          <w:spacing w:val="0"/>
          <w:kern w:val="0"/>
          <w:sz w:val="32"/>
          <w:szCs w:val="32"/>
          <w:highlight w:val="none"/>
          <w:shd w:val="clear" w:fill="FFFFFF"/>
          <w:lang w:val="en-US" w:eastAsia="zh-CN" w:bidi="ar"/>
        </w:rPr>
      </w:pPr>
      <w:r>
        <w:rPr>
          <w:rFonts w:hint="eastAsia" w:ascii="Times New Roman" w:hAnsi="Times New Roman" w:eastAsia="方正仿宋_GBK" w:cs="方正仿宋_GBK"/>
          <w:i w:val="0"/>
          <w:caps w:val="0"/>
          <w:color w:val="auto"/>
          <w:spacing w:val="0"/>
          <w:kern w:val="0"/>
          <w:sz w:val="32"/>
          <w:szCs w:val="32"/>
          <w:highlight w:val="none"/>
          <w:shd w:val="clear" w:fill="FFFFFF"/>
          <w:lang w:val="en-US" w:eastAsia="zh-CN" w:bidi="ar"/>
        </w:rPr>
        <w:br w:type="page"/>
      </w:r>
    </w:p>
    <w:p w14:paraId="1DC2217B">
      <w:pPr>
        <w:keepNext w:val="0"/>
        <w:keepLines w:val="0"/>
        <w:pageBreakBefore w:val="0"/>
        <w:kinsoku/>
        <w:wordWrap/>
        <w:overflowPunct/>
        <w:topLinePunct w:val="0"/>
        <w:bidi w:val="0"/>
        <w:adjustRightInd/>
        <w:snapToGrid/>
        <w:spacing w:line="520" w:lineRule="exact"/>
        <w:jc w:val="left"/>
        <w:textAlignment w:val="auto"/>
        <w:rPr>
          <w:rFonts w:hint="eastAsia" w:ascii="Times New Roman" w:hAnsi="Times New Roman" w:eastAsia="方正小标宋_GBK" w:cs="方正小标宋_GBK"/>
          <w:color w:val="auto"/>
          <w:sz w:val="44"/>
          <w:szCs w:val="44"/>
          <w:highlight w:val="none"/>
          <w:lang w:eastAsia="zh-CN"/>
        </w:rPr>
      </w:pPr>
      <w:r>
        <w:rPr>
          <w:rFonts w:hint="eastAsia" w:ascii="Times New Roman" w:hAnsi="Times New Roman" w:eastAsia="方正仿宋_GBK" w:cs="方正仿宋_GBK"/>
          <w:i w:val="0"/>
          <w:caps w:val="0"/>
          <w:color w:val="auto"/>
          <w:spacing w:val="0"/>
          <w:kern w:val="0"/>
          <w:sz w:val="32"/>
          <w:szCs w:val="32"/>
          <w:highlight w:val="none"/>
          <w:shd w:val="clear" w:fill="FFFFFF"/>
          <w:lang w:val="en-US" w:eastAsia="zh-CN" w:bidi="ar"/>
        </w:rPr>
        <w:t>附件：</w:t>
      </w:r>
    </w:p>
    <w:p w14:paraId="52584274">
      <w:pPr>
        <w:pStyle w:val="3"/>
        <w:spacing w:before="240" w:after="240"/>
        <w:ind w:firstLine="0" w:firstLineChars="0"/>
        <w:jc w:val="center"/>
        <w:rPr>
          <w:rFonts w:ascii="宋体" w:hAnsi="宋体" w:eastAsia="宋体"/>
          <w:sz w:val="36"/>
          <w:szCs w:val="36"/>
          <w:highlight w:val="none"/>
        </w:rPr>
      </w:pPr>
      <w:bookmarkStart w:id="0" w:name="_Toc176528939"/>
      <w:bookmarkStart w:id="1" w:name="_Toc105488535"/>
      <w:r>
        <w:rPr>
          <w:rFonts w:hint="eastAsia" w:ascii="宋体" w:hAnsi="宋体" w:eastAsia="宋体"/>
          <w:sz w:val="36"/>
          <w:szCs w:val="36"/>
          <w:highlight w:val="none"/>
          <w:lang w:val="en-US" w:eastAsia="zh-CN"/>
        </w:rPr>
        <w:t>评分</w:t>
      </w:r>
      <w:r>
        <w:rPr>
          <w:rFonts w:hint="eastAsia" w:ascii="宋体" w:hAnsi="宋体" w:eastAsia="宋体"/>
          <w:sz w:val="36"/>
          <w:szCs w:val="36"/>
          <w:highlight w:val="none"/>
        </w:rPr>
        <w:t>标准</w:t>
      </w:r>
      <w:bookmarkEnd w:id="0"/>
      <w:bookmarkEnd w:id="1"/>
    </w:p>
    <w:tbl>
      <w:tblPr>
        <w:tblStyle w:val="7"/>
        <w:tblW w:w="9585" w:type="dxa"/>
        <w:jc w:val="center"/>
        <w:tblLayout w:type="fixed"/>
        <w:tblCellMar>
          <w:top w:w="0" w:type="dxa"/>
          <w:left w:w="108" w:type="dxa"/>
          <w:bottom w:w="0" w:type="dxa"/>
          <w:right w:w="108" w:type="dxa"/>
        </w:tblCellMar>
      </w:tblPr>
      <w:tblGrid>
        <w:gridCol w:w="751"/>
        <w:gridCol w:w="1532"/>
        <w:gridCol w:w="6541"/>
        <w:gridCol w:w="761"/>
      </w:tblGrid>
      <w:tr w14:paraId="5EA4F7EB">
        <w:tblPrEx>
          <w:tblCellMar>
            <w:top w:w="0" w:type="dxa"/>
            <w:left w:w="108" w:type="dxa"/>
            <w:bottom w:w="0" w:type="dxa"/>
            <w:right w:w="108" w:type="dxa"/>
          </w:tblCellMar>
        </w:tblPrEx>
        <w:trPr>
          <w:trHeight w:val="673"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457E6B51">
            <w:pPr>
              <w:widowControl/>
              <w:spacing w:line="560" w:lineRule="exact"/>
              <w:jc w:val="center"/>
              <w:rPr>
                <w:rFonts w:ascii="宋体" w:hAnsi="宋体"/>
                <w:b/>
                <w:bCs/>
                <w:szCs w:val="21"/>
                <w:highlight w:val="none"/>
              </w:rPr>
            </w:pPr>
            <w:r>
              <w:rPr>
                <w:rFonts w:hint="eastAsia" w:ascii="宋体" w:hAnsi="宋体"/>
                <w:b/>
                <w:bCs/>
                <w:szCs w:val="21"/>
                <w:highlight w:val="none"/>
              </w:rPr>
              <w:t>编号</w:t>
            </w:r>
          </w:p>
        </w:tc>
        <w:tc>
          <w:tcPr>
            <w:tcW w:w="1532" w:type="dxa"/>
            <w:tcBorders>
              <w:top w:val="single" w:color="auto" w:sz="4" w:space="0"/>
              <w:left w:val="nil"/>
              <w:bottom w:val="single" w:color="auto" w:sz="4" w:space="0"/>
              <w:right w:val="single" w:color="auto" w:sz="4" w:space="0"/>
            </w:tcBorders>
            <w:noWrap w:val="0"/>
            <w:vAlign w:val="center"/>
          </w:tcPr>
          <w:p w14:paraId="40EC59EA">
            <w:pPr>
              <w:widowControl/>
              <w:spacing w:line="560" w:lineRule="exact"/>
              <w:jc w:val="center"/>
              <w:rPr>
                <w:rFonts w:hint="eastAsia" w:ascii="宋体" w:hAnsi="宋体"/>
                <w:b/>
                <w:bCs/>
                <w:szCs w:val="21"/>
                <w:highlight w:val="none"/>
              </w:rPr>
            </w:pPr>
            <w:r>
              <w:rPr>
                <w:rFonts w:hint="eastAsia" w:ascii="宋体" w:hAnsi="宋体"/>
                <w:b/>
                <w:bCs/>
                <w:szCs w:val="21"/>
                <w:highlight w:val="none"/>
              </w:rPr>
              <w:t>评审因素</w:t>
            </w:r>
          </w:p>
        </w:tc>
        <w:tc>
          <w:tcPr>
            <w:tcW w:w="6541" w:type="dxa"/>
            <w:tcBorders>
              <w:top w:val="single" w:color="auto" w:sz="4" w:space="0"/>
              <w:left w:val="nil"/>
              <w:bottom w:val="single" w:color="auto" w:sz="4" w:space="0"/>
              <w:right w:val="single" w:color="auto" w:sz="4" w:space="0"/>
            </w:tcBorders>
            <w:noWrap w:val="0"/>
            <w:vAlign w:val="center"/>
          </w:tcPr>
          <w:p w14:paraId="32D21C56">
            <w:pPr>
              <w:widowControl/>
              <w:spacing w:line="560" w:lineRule="exact"/>
              <w:jc w:val="center"/>
              <w:rPr>
                <w:rFonts w:hint="eastAsia" w:ascii="宋体" w:hAnsi="宋体"/>
                <w:b/>
                <w:bCs/>
                <w:szCs w:val="21"/>
                <w:highlight w:val="none"/>
              </w:rPr>
            </w:pPr>
            <w:r>
              <w:rPr>
                <w:rFonts w:hint="eastAsia" w:ascii="宋体" w:hAnsi="宋体"/>
                <w:b/>
                <w:bCs/>
                <w:szCs w:val="21"/>
                <w:highlight w:val="none"/>
              </w:rPr>
              <w:t>评审标准</w:t>
            </w:r>
          </w:p>
        </w:tc>
        <w:tc>
          <w:tcPr>
            <w:tcW w:w="761" w:type="dxa"/>
            <w:tcBorders>
              <w:top w:val="single" w:color="auto" w:sz="4" w:space="0"/>
              <w:left w:val="nil"/>
              <w:bottom w:val="single" w:color="auto" w:sz="4" w:space="0"/>
              <w:right w:val="single" w:color="auto" w:sz="4" w:space="0"/>
            </w:tcBorders>
            <w:noWrap w:val="0"/>
            <w:vAlign w:val="center"/>
          </w:tcPr>
          <w:p w14:paraId="01330CF4">
            <w:pPr>
              <w:widowControl/>
              <w:spacing w:line="560" w:lineRule="exact"/>
              <w:jc w:val="center"/>
              <w:rPr>
                <w:rFonts w:hint="eastAsia" w:ascii="宋体" w:hAnsi="宋体"/>
                <w:b/>
                <w:bCs/>
                <w:szCs w:val="21"/>
                <w:highlight w:val="none"/>
              </w:rPr>
            </w:pPr>
            <w:r>
              <w:rPr>
                <w:rFonts w:hint="eastAsia" w:ascii="宋体" w:hAnsi="宋体"/>
                <w:b/>
                <w:bCs/>
                <w:szCs w:val="21"/>
                <w:highlight w:val="none"/>
              </w:rPr>
              <w:t>分值</w:t>
            </w:r>
          </w:p>
        </w:tc>
      </w:tr>
      <w:tr w14:paraId="3075103C">
        <w:tblPrEx>
          <w:tblCellMar>
            <w:top w:w="0" w:type="dxa"/>
            <w:left w:w="108" w:type="dxa"/>
            <w:bottom w:w="0" w:type="dxa"/>
            <w:right w:w="108" w:type="dxa"/>
          </w:tblCellMar>
        </w:tblPrEx>
        <w:trPr>
          <w:trHeight w:val="958" w:hRule="atLeast"/>
          <w:jc w:val="center"/>
        </w:trPr>
        <w:tc>
          <w:tcPr>
            <w:tcW w:w="751" w:type="dxa"/>
            <w:tcBorders>
              <w:top w:val="nil"/>
              <w:left w:val="single" w:color="auto" w:sz="4" w:space="0"/>
              <w:bottom w:val="single" w:color="auto" w:sz="4" w:space="0"/>
              <w:right w:val="single" w:color="auto" w:sz="4" w:space="0"/>
            </w:tcBorders>
            <w:noWrap w:val="0"/>
            <w:vAlign w:val="center"/>
          </w:tcPr>
          <w:p w14:paraId="1394B601">
            <w:pPr>
              <w:widowControl/>
              <w:spacing w:line="560" w:lineRule="exact"/>
              <w:jc w:val="center"/>
              <w:rPr>
                <w:rFonts w:hint="eastAsia" w:ascii="宋体" w:hAnsi="宋体"/>
                <w:szCs w:val="21"/>
                <w:highlight w:val="none"/>
              </w:rPr>
            </w:pPr>
            <w:r>
              <w:rPr>
                <w:rFonts w:hint="eastAsia" w:ascii="宋体" w:hAnsi="宋体"/>
                <w:szCs w:val="21"/>
                <w:highlight w:val="none"/>
              </w:rPr>
              <w:t>1</w:t>
            </w:r>
          </w:p>
        </w:tc>
        <w:tc>
          <w:tcPr>
            <w:tcW w:w="1532" w:type="dxa"/>
            <w:tcBorders>
              <w:top w:val="nil"/>
              <w:left w:val="nil"/>
              <w:bottom w:val="single" w:color="auto" w:sz="4" w:space="0"/>
              <w:right w:val="single" w:color="auto" w:sz="4" w:space="0"/>
            </w:tcBorders>
            <w:noWrap w:val="0"/>
            <w:vAlign w:val="center"/>
          </w:tcPr>
          <w:p w14:paraId="171E5FDB">
            <w:pPr>
              <w:widowControl/>
              <w:spacing w:line="560" w:lineRule="exact"/>
              <w:jc w:val="center"/>
              <w:rPr>
                <w:rFonts w:hint="eastAsia" w:ascii="宋体" w:hAnsi="宋体"/>
                <w:szCs w:val="21"/>
                <w:highlight w:val="none"/>
              </w:rPr>
            </w:pPr>
            <w:r>
              <w:rPr>
                <w:rFonts w:hint="eastAsia" w:ascii="宋体" w:hAnsi="宋体"/>
                <w:szCs w:val="21"/>
                <w:highlight w:val="none"/>
              </w:rPr>
              <w:t>价格(</w:t>
            </w:r>
            <w:r>
              <w:rPr>
                <w:rFonts w:hint="eastAsia" w:ascii="宋体" w:hAnsi="宋体" w:eastAsia="宋体"/>
                <w:szCs w:val="21"/>
                <w:highlight w:val="none"/>
                <w:lang w:val="en-US" w:eastAsia="zh-CN"/>
              </w:rPr>
              <w:t>20</w:t>
            </w:r>
            <w:r>
              <w:rPr>
                <w:rFonts w:hint="eastAsia" w:ascii="宋体" w:hAnsi="宋体"/>
                <w:szCs w:val="21"/>
                <w:highlight w:val="none"/>
              </w:rPr>
              <w:t>分)</w:t>
            </w:r>
          </w:p>
        </w:tc>
        <w:tc>
          <w:tcPr>
            <w:tcW w:w="6541" w:type="dxa"/>
            <w:tcBorders>
              <w:top w:val="nil"/>
              <w:left w:val="nil"/>
              <w:bottom w:val="single" w:color="auto" w:sz="4" w:space="0"/>
              <w:right w:val="single" w:color="auto" w:sz="4" w:space="0"/>
            </w:tcBorders>
            <w:noWrap w:val="0"/>
            <w:vAlign w:val="center"/>
          </w:tcPr>
          <w:p w14:paraId="27574426">
            <w:pPr>
              <w:widowControl/>
              <w:spacing w:line="560" w:lineRule="exact"/>
              <w:jc w:val="left"/>
              <w:rPr>
                <w:rFonts w:hint="eastAsia" w:ascii="宋体" w:hAnsi="宋体"/>
                <w:szCs w:val="21"/>
                <w:highlight w:val="none"/>
              </w:rPr>
            </w:pPr>
            <w:r>
              <w:rPr>
                <w:rFonts w:hint="eastAsia" w:ascii="宋体" w:hAnsi="宋体"/>
                <w:szCs w:val="21"/>
                <w:highlight w:val="none"/>
              </w:rPr>
              <w:t>采用低价优先法计算，即满足采购文件要求且响应价格低的报价为评审基准价，其价格分为满分。其他供应商的价格分按照下列公式计算（小数点后保留两位）</w:t>
            </w:r>
            <w:r>
              <w:rPr>
                <w:rFonts w:hint="eastAsia" w:ascii="宋体" w:hAnsi="宋体" w:eastAsia="宋体"/>
                <w:szCs w:val="21"/>
                <w:highlight w:val="none"/>
                <w:lang w:eastAsia="zh-CN"/>
              </w:rPr>
              <w:t>：</w:t>
            </w:r>
            <w:r>
              <w:rPr>
                <w:rFonts w:hint="eastAsia" w:ascii="宋体" w:hAnsi="宋体"/>
                <w:szCs w:val="21"/>
                <w:highlight w:val="none"/>
              </w:rPr>
              <w:t>响应报价得分=（评审基准价/响应报价）</w:t>
            </w:r>
            <w:r>
              <w:rPr>
                <w:rFonts w:cs="Calibri"/>
                <w:szCs w:val="21"/>
                <w:highlight w:val="none"/>
              </w:rPr>
              <w:t>×</w:t>
            </w:r>
            <w:r>
              <w:rPr>
                <w:rFonts w:hint="eastAsia" w:ascii="宋体" w:hAnsi="宋体" w:eastAsia="等线"/>
                <w:szCs w:val="21"/>
                <w:highlight w:val="none"/>
                <w:lang w:val="en-US" w:eastAsia="zh-CN"/>
              </w:rPr>
              <w:t>20</w:t>
            </w:r>
            <w:r>
              <w:rPr>
                <w:rFonts w:hint="eastAsia" w:ascii="宋体" w:hAnsi="宋体"/>
                <w:szCs w:val="21"/>
                <w:highlight w:val="none"/>
              </w:rPr>
              <w:t>分。</w:t>
            </w:r>
          </w:p>
        </w:tc>
        <w:tc>
          <w:tcPr>
            <w:tcW w:w="761" w:type="dxa"/>
            <w:tcBorders>
              <w:top w:val="nil"/>
              <w:left w:val="nil"/>
              <w:bottom w:val="single" w:color="auto" w:sz="4" w:space="0"/>
              <w:right w:val="single" w:color="auto" w:sz="4" w:space="0"/>
            </w:tcBorders>
            <w:noWrap w:val="0"/>
            <w:vAlign w:val="center"/>
          </w:tcPr>
          <w:p w14:paraId="20A8C402">
            <w:pPr>
              <w:widowControl/>
              <w:spacing w:line="560" w:lineRule="exact"/>
              <w:jc w:val="center"/>
              <w:rPr>
                <w:rFonts w:hint="default" w:ascii="宋体" w:hAnsi="宋体" w:eastAsia="等线"/>
                <w:szCs w:val="21"/>
                <w:highlight w:val="none"/>
                <w:lang w:val="en-US" w:eastAsia="zh-CN"/>
              </w:rPr>
            </w:pPr>
            <w:r>
              <w:rPr>
                <w:rFonts w:hint="eastAsia" w:ascii="宋体" w:hAnsi="宋体" w:eastAsia="等线"/>
                <w:szCs w:val="21"/>
                <w:highlight w:val="none"/>
                <w:lang w:val="en-US" w:eastAsia="zh-CN"/>
              </w:rPr>
              <w:t>20</w:t>
            </w:r>
          </w:p>
        </w:tc>
      </w:tr>
      <w:tr w14:paraId="3F70D466">
        <w:tblPrEx>
          <w:tblCellMar>
            <w:top w:w="0" w:type="dxa"/>
            <w:left w:w="108" w:type="dxa"/>
            <w:bottom w:w="0" w:type="dxa"/>
            <w:right w:w="108" w:type="dxa"/>
          </w:tblCellMar>
        </w:tblPrEx>
        <w:trPr>
          <w:trHeight w:val="1398" w:hRule="atLeast"/>
          <w:jc w:val="center"/>
        </w:trPr>
        <w:tc>
          <w:tcPr>
            <w:tcW w:w="751" w:type="dxa"/>
            <w:tcBorders>
              <w:top w:val="nil"/>
              <w:left w:val="single" w:color="auto" w:sz="4" w:space="0"/>
              <w:bottom w:val="single" w:color="auto" w:sz="4" w:space="0"/>
              <w:right w:val="single" w:color="auto" w:sz="4" w:space="0"/>
            </w:tcBorders>
            <w:noWrap w:val="0"/>
            <w:vAlign w:val="center"/>
          </w:tcPr>
          <w:p w14:paraId="129BFCD1">
            <w:pPr>
              <w:widowControl/>
              <w:spacing w:line="560" w:lineRule="exact"/>
              <w:jc w:val="center"/>
              <w:rPr>
                <w:rFonts w:hint="eastAsia" w:ascii="宋体" w:hAnsi="宋体"/>
                <w:szCs w:val="21"/>
                <w:highlight w:val="none"/>
              </w:rPr>
            </w:pPr>
            <w:r>
              <w:rPr>
                <w:rFonts w:hint="eastAsia" w:ascii="宋体" w:hAnsi="宋体"/>
                <w:szCs w:val="21"/>
                <w:highlight w:val="none"/>
              </w:rPr>
              <w:t>2.1</w:t>
            </w:r>
          </w:p>
        </w:tc>
        <w:tc>
          <w:tcPr>
            <w:tcW w:w="1532" w:type="dxa"/>
            <w:vMerge w:val="restart"/>
            <w:tcBorders>
              <w:top w:val="nil"/>
              <w:left w:val="single" w:color="auto" w:sz="4" w:space="0"/>
              <w:bottom w:val="single" w:color="auto" w:sz="4" w:space="0"/>
              <w:right w:val="single" w:color="auto" w:sz="4" w:space="0"/>
            </w:tcBorders>
            <w:noWrap w:val="0"/>
            <w:vAlign w:val="center"/>
          </w:tcPr>
          <w:p w14:paraId="36D61BC5">
            <w:pPr>
              <w:widowControl/>
              <w:spacing w:line="560" w:lineRule="exact"/>
              <w:jc w:val="center"/>
              <w:rPr>
                <w:rFonts w:hint="eastAsia" w:ascii="宋体" w:hAnsi="宋体"/>
                <w:szCs w:val="21"/>
                <w:highlight w:val="none"/>
              </w:rPr>
            </w:pPr>
            <w:r>
              <w:rPr>
                <w:rFonts w:hint="eastAsia" w:ascii="宋体" w:hAnsi="宋体"/>
                <w:szCs w:val="21"/>
                <w:highlight w:val="none"/>
              </w:rPr>
              <w:t xml:space="preserve">服务方案 </w:t>
            </w:r>
            <w:r>
              <w:rPr>
                <w:rFonts w:ascii="宋体" w:hAnsi="宋体"/>
                <w:szCs w:val="21"/>
                <w:highlight w:val="none"/>
              </w:rPr>
              <w:t xml:space="preserve"> </w:t>
            </w:r>
            <w:r>
              <w:rPr>
                <w:rFonts w:hint="eastAsia" w:ascii="宋体" w:hAnsi="宋体"/>
                <w:szCs w:val="21"/>
                <w:highlight w:val="none"/>
              </w:rPr>
              <w:t xml:space="preserve"> （4</w:t>
            </w:r>
            <w:r>
              <w:rPr>
                <w:rFonts w:hint="eastAsia" w:ascii="宋体" w:hAnsi="宋体" w:eastAsia="宋体"/>
                <w:szCs w:val="21"/>
                <w:highlight w:val="none"/>
                <w:lang w:val="en-US" w:eastAsia="zh-CN"/>
              </w:rPr>
              <w:t>0</w:t>
            </w:r>
            <w:r>
              <w:rPr>
                <w:rFonts w:hint="eastAsia" w:ascii="宋体" w:hAnsi="宋体"/>
                <w:szCs w:val="21"/>
                <w:highlight w:val="none"/>
              </w:rPr>
              <w:t>分）</w:t>
            </w:r>
          </w:p>
        </w:tc>
        <w:tc>
          <w:tcPr>
            <w:tcW w:w="6541" w:type="dxa"/>
            <w:tcBorders>
              <w:top w:val="nil"/>
              <w:left w:val="nil"/>
              <w:bottom w:val="single" w:color="auto" w:sz="4" w:space="0"/>
              <w:right w:val="single" w:color="auto" w:sz="4" w:space="0"/>
            </w:tcBorders>
            <w:noWrap w:val="0"/>
            <w:vAlign w:val="center"/>
          </w:tcPr>
          <w:p w14:paraId="2E5721BF">
            <w:pPr>
              <w:spacing w:line="560" w:lineRule="exact"/>
              <w:jc w:val="left"/>
              <w:rPr>
                <w:rFonts w:hint="eastAsia" w:ascii="宋体" w:hAnsi="宋体"/>
                <w:highlight w:val="none"/>
              </w:rPr>
            </w:pPr>
            <w:r>
              <w:rPr>
                <w:rFonts w:hint="eastAsia" w:ascii="宋体" w:hAnsi="宋体" w:eastAsia="宋体"/>
                <w:highlight w:val="none"/>
                <w:lang w:val="en-US" w:eastAsia="zh-CN"/>
              </w:rPr>
              <w:t>评委根据</w:t>
            </w:r>
            <w:r>
              <w:rPr>
                <w:rFonts w:hint="eastAsia" w:ascii="宋体" w:hAnsi="宋体"/>
                <w:highlight w:val="none"/>
              </w:rPr>
              <w:t>供应商提供的培养课程方案进行横向比较，根据其线上线下相结合，形式丰富多样，体系化、长效化、标准化培养，对培养实际结果能予以科学有效考评等方面</w:t>
            </w:r>
            <w:r>
              <w:rPr>
                <w:rFonts w:hint="eastAsia" w:ascii="宋体" w:hAnsi="宋体" w:eastAsia="宋体"/>
                <w:highlight w:val="none"/>
                <w:lang w:val="en-US" w:eastAsia="zh-CN"/>
              </w:rPr>
              <w:t>进行</w:t>
            </w:r>
            <w:r>
              <w:rPr>
                <w:rFonts w:hint="eastAsia" w:ascii="宋体" w:hAnsi="宋体"/>
                <w:highlight w:val="none"/>
              </w:rPr>
              <w:t>综合打分。</w:t>
            </w:r>
          </w:p>
          <w:p w14:paraId="79640198">
            <w:pPr>
              <w:spacing w:line="560" w:lineRule="exact"/>
              <w:jc w:val="left"/>
              <w:rPr>
                <w:rFonts w:hint="eastAsia" w:ascii="宋体" w:hAnsi="宋体"/>
                <w:highlight w:val="none"/>
                <w:lang w:val="zh-CN"/>
              </w:rPr>
            </w:pPr>
            <w:r>
              <w:rPr>
                <w:rFonts w:hint="eastAsia" w:ascii="宋体" w:hAnsi="宋体"/>
                <w:highlight w:val="none"/>
                <w:lang w:val="zh-CN"/>
              </w:rPr>
              <w:t>（1）培训目标清晰明确，有可量化的成果指标。课程结构逻辑严谨，内容覆盖核心知识点，案例实用性强，兼具理论深度与实践指导性。融入前沿理念或技术（如AI辅助、情景模拟），能激发学员主动参与，</w:t>
            </w:r>
            <w:r>
              <w:rPr>
                <w:rFonts w:hint="eastAsia" w:ascii="宋体" w:hAnsi="宋体"/>
                <w:highlight w:val="none"/>
                <w:lang w:val="en-US" w:eastAsia="zh-CN"/>
              </w:rPr>
              <w:t>培训、考核设置</w:t>
            </w:r>
            <w:r>
              <w:rPr>
                <w:rFonts w:hint="eastAsia" w:ascii="宋体" w:hAnsi="宋体"/>
                <w:highlight w:val="none"/>
                <w:lang w:val="zh-CN"/>
              </w:rPr>
              <w:t>科学（如多维度考核、</w:t>
            </w:r>
            <w:r>
              <w:rPr>
                <w:rFonts w:hint="eastAsia" w:ascii="宋体" w:hAnsi="宋体"/>
                <w:highlight w:val="none"/>
                <w:lang w:val="en-US" w:eastAsia="zh-CN"/>
              </w:rPr>
              <w:t>服务</w:t>
            </w:r>
            <w:r>
              <w:rPr>
                <w:rFonts w:hint="eastAsia" w:ascii="宋体" w:hAnsi="宋体"/>
                <w:highlight w:val="none"/>
                <w:lang w:val="zh-CN"/>
              </w:rPr>
              <w:t>跟踪），得15分；</w:t>
            </w:r>
          </w:p>
          <w:p w14:paraId="6AE4458F">
            <w:pPr>
              <w:spacing w:line="560" w:lineRule="exact"/>
              <w:jc w:val="left"/>
              <w:rPr>
                <w:rFonts w:hint="eastAsia" w:ascii="宋体" w:hAnsi="宋体"/>
                <w:highlight w:val="none"/>
              </w:rPr>
            </w:pPr>
            <w:r>
              <w:rPr>
                <w:rFonts w:hint="eastAsia" w:ascii="宋体" w:hAnsi="宋体"/>
                <w:highlight w:val="none"/>
              </w:rPr>
              <w:t>（2）培训方向明确，但与实际需求部分脱节，成果指标量化不足。涵盖主要知识点，但案例缺乏针对性，理论与实践结合度一般，能达成基础培训目标，但缺乏效果跟踪设计，评估方式单一的得10分；</w:t>
            </w:r>
          </w:p>
          <w:p w14:paraId="5BB76E46">
            <w:pPr>
              <w:spacing w:line="560" w:lineRule="exact"/>
              <w:jc w:val="left"/>
              <w:rPr>
                <w:rFonts w:hint="eastAsia" w:ascii="宋体" w:hAnsi="宋体"/>
                <w:highlight w:val="none"/>
                <w:lang w:val="zh-CN"/>
              </w:rPr>
            </w:pPr>
            <w:r>
              <w:rPr>
                <w:rFonts w:hint="eastAsia" w:ascii="宋体" w:hAnsi="宋体"/>
                <w:highlight w:val="none"/>
                <w:lang w:val="zh-CN"/>
              </w:rPr>
              <w:t>（3）培训方向不清晰，与组织或学员需求关联性弱，缺乏可衡量标准。知识点零散不成体系，案例脱离实际，或存在技术/理论</w:t>
            </w:r>
            <w:r>
              <w:rPr>
                <w:rFonts w:hint="eastAsia" w:ascii="宋体" w:hAnsi="宋体"/>
                <w:highlight w:val="none"/>
                <w:lang w:val="en-US" w:eastAsia="zh-CN"/>
              </w:rPr>
              <w:t>不足</w:t>
            </w:r>
            <w:r>
              <w:rPr>
                <w:rFonts w:hint="eastAsia" w:ascii="宋体" w:hAnsi="宋体"/>
                <w:highlight w:val="none"/>
                <w:lang w:val="zh-CN"/>
              </w:rPr>
              <w:t>。无明确评估</w:t>
            </w:r>
            <w:r>
              <w:rPr>
                <w:rFonts w:hint="eastAsia" w:ascii="宋体" w:hAnsi="宋体"/>
                <w:highlight w:val="none"/>
                <w:lang w:val="en-US" w:eastAsia="zh-CN"/>
              </w:rPr>
              <w:t>考核</w:t>
            </w:r>
            <w:r>
              <w:rPr>
                <w:rFonts w:hint="eastAsia" w:ascii="宋体" w:hAnsi="宋体"/>
                <w:highlight w:val="none"/>
                <w:lang w:val="zh-CN"/>
              </w:rPr>
              <w:t>机制，难以验证培训成果，预期收益不明确得5分。</w:t>
            </w:r>
          </w:p>
          <w:p w14:paraId="3989D27E">
            <w:pPr>
              <w:pStyle w:val="2"/>
              <w:rPr>
                <w:rFonts w:hint="eastAsia"/>
                <w:highlight w:val="none"/>
                <w:lang w:val="zh-CN"/>
              </w:rPr>
            </w:pPr>
            <w:r>
              <w:rPr>
                <w:rFonts w:hint="eastAsia"/>
                <w:highlight w:val="none"/>
                <w:lang w:val="zh-CN"/>
              </w:rPr>
              <w:t>（</w:t>
            </w:r>
            <w:r>
              <w:rPr>
                <w:rFonts w:hint="eastAsia" w:eastAsia="宋体"/>
                <w:highlight w:val="none"/>
                <w:lang w:val="en-US" w:eastAsia="zh-CN"/>
              </w:rPr>
              <w:t>4</w:t>
            </w:r>
            <w:r>
              <w:rPr>
                <w:rFonts w:hint="eastAsia"/>
                <w:highlight w:val="none"/>
                <w:lang w:val="zh-CN"/>
              </w:rPr>
              <w:t>）</w:t>
            </w:r>
            <w:r>
              <w:rPr>
                <w:rFonts w:hint="eastAsia" w:ascii="宋体" w:hAnsi="宋体"/>
                <w:szCs w:val="21"/>
                <w:highlight w:val="none"/>
              </w:rPr>
              <w:t>缺项不得分。</w:t>
            </w:r>
          </w:p>
        </w:tc>
        <w:tc>
          <w:tcPr>
            <w:tcW w:w="761" w:type="dxa"/>
            <w:tcBorders>
              <w:top w:val="nil"/>
              <w:left w:val="nil"/>
              <w:bottom w:val="single" w:color="auto" w:sz="4" w:space="0"/>
              <w:right w:val="single" w:color="auto" w:sz="4" w:space="0"/>
            </w:tcBorders>
            <w:noWrap w:val="0"/>
            <w:vAlign w:val="center"/>
          </w:tcPr>
          <w:p w14:paraId="7EE2C7D1">
            <w:pPr>
              <w:widowControl/>
              <w:spacing w:line="560" w:lineRule="exact"/>
              <w:jc w:val="center"/>
              <w:rPr>
                <w:rFonts w:hint="eastAsia" w:ascii="宋体" w:hAnsi="宋体" w:eastAsia="等线"/>
                <w:highlight w:val="none"/>
              </w:rPr>
            </w:pPr>
            <w:r>
              <w:rPr>
                <w:rFonts w:hint="eastAsia" w:ascii="宋体" w:hAnsi="宋体" w:eastAsia="等线"/>
                <w:highlight w:val="none"/>
              </w:rPr>
              <w:t>15</w:t>
            </w:r>
          </w:p>
        </w:tc>
      </w:tr>
      <w:tr w14:paraId="2D8E05BE">
        <w:tblPrEx>
          <w:tblCellMar>
            <w:top w:w="0" w:type="dxa"/>
            <w:left w:w="108" w:type="dxa"/>
            <w:bottom w:w="0" w:type="dxa"/>
            <w:right w:w="108" w:type="dxa"/>
          </w:tblCellMar>
        </w:tblPrEx>
        <w:trPr>
          <w:trHeight w:val="556" w:hRule="atLeast"/>
          <w:jc w:val="center"/>
        </w:trPr>
        <w:tc>
          <w:tcPr>
            <w:tcW w:w="751" w:type="dxa"/>
            <w:tcBorders>
              <w:top w:val="nil"/>
              <w:left w:val="single" w:color="auto" w:sz="4" w:space="0"/>
              <w:bottom w:val="single" w:color="auto" w:sz="4" w:space="0"/>
              <w:right w:val="single" w:color="auto" w:sz="4" w:space="0"/>
            </w:tcBorders>
            <w:noWrap w:val="0"/>
            <w:vAlign w:val="center"/>
          </w:tcPr>
          <w:p w14:paraId="18E4C4D1">
            <w:pPr>
              <w:widowControl/>
              <w:spacing w:line="560" w:lineRule="exact"/>
              <w:jc w:val="center"/>
              <w:rPr>
                <w:rFonts w:hint="eastAsia" w:ascii="宋体" w:hAnsi="宋体"/>
                <w:szCs w:val="21"/>
                <w:highlight w:val="none"/>
              </w:rPr>
            </w:pPr>
            <w:r>
              <w:rPr>
                <w:rFonts w:hint="eastAsia" w:ascii="宋体" w:hAnsi="宋体"/>
                <w:szCs w:val="21"/>
                <w:highlight w:val="none"/>
              </w:rPr>
              <w:t>2.2</w:t>
            </w:r>
          </w:p>
        </w:tc>
        <w:tc>
          <w:tcPr>
            <w:tcW w:w="1532" w:type="dxa"/>
            <w:vMerge w:val="continue"/>
            <w:tcBorders>
              <w:top w:val="nil"/>
              <w:left w:val="single" w:color="auto" w:sz="4" w:space="0"/>
              <w:bottom w:val="single" w:color="auto" w:sz="4" w:space="0"/>
              <w:right w:val="single" w:color="auto" w:sz="4" w:space="0"/>
            </w:tcBorders>
            <w:noWrap w:val="0"/>
            <w:vAlign w:val="center"/>
          </w:tcPr>
          <w:p w14:paraId="525852F0">
            <w:pPr>
              <w:widowControl/>
              <w:jc w:val="left"/>
              <w:rPr>
                <w:rFonts w:ascii="宋体" w:hAnsi="宋体"/>
                <w:szCs w:val="21"/>
                <w:highlight w:val="none"/>
              </w:rPr>
            </w:pPr>
          </w:p>
        </w:tc>
        <w:tc>
          <w:tcPr>
            <w:tcW w:w="6541" w:type="dxa"/>
            <w:tcBorders>
              <w:top w:val="nil"/>
              <w:left w:val="nil"/>
              <w:bottom w:val="single" w:color="auto" w:sz="4" w:space="0"/>
              <w:right w:val="single" w:color="auto" w:sz="4" w:space="0"/>
            </w:tcBorders>
            <w:noWrap w:val="0"/>
            <w:vAlign w:val="center"/>
          </w:tcPr>
          <w:p w14:paraId="186DEC27">
            <w:pPr>
              <w:widowControl/>
              <w:spacing w:line="560" w:lineRule="exact"/>
              <w:jc w:val="left"/>
              <w:rPr>
                <w:rFonts w:hint="eastAsia" w:ascii="宋体" w:hAnsi="宋体"/>
                <w:szCs w:val="21"/>
                <w:highlight w:val="none"/>
              </w:rPr>
            </w:pPr>
            <w:r>
              <w:rPr>
                <w:rFonts w:hint="eastAsia" w:ascii="宋体" w:hAnsi="宋体" w:eastAsia="宋体"/>
                <w:szCs w:val="21"/>
                <w:highlight w:val="none"/>
                <w:lang w:val="en-US" w:eastAsia="zh-CN"/>
              </w:rPr>
              <w:t>评委</w:t>
            </w:r>
            <w:r>
              <w:rPr>
                <w:rFonts w:hint="eastAsia" w:ascii="宋体" w:hAnsi="宋体"/>
                <w:szCs w:val="21"/>
                <w:highlight w:val="none"/>
              </w:rPr>
              <w:t>根据</w:t>
            </w:r>
            <w:r>
              <w:rPr>
                <w:rFonts w:hint="eastAsia" w:ascii="宋体" w:hAnsi="宋体" w:eastAsia="宋体"/>
                <w:szCs w:val="21"/>
                <w:highlight w:val="none"/>
                <w:lang w:val="en-US" w:eastAsia="zh-CN"/>
              </w:rPr>
              <w:t>供应商提供的</w:t>
            </w:r>
            <w:r>
              <w:rPr>
                <w:rFonts w:hint="eastAsia" w:ascii="宋体" w:hAnsi="宋体"/>
                <w:szCs w:val="21"/>
                <w:highlight w:val="none"/>
              </w:rPr>
              <w:t>项目实施方案进行综合打分。</w:t>
            </w:r>
          </w:p>
          <w:p w14:paraId="7BEC65E9">
            <w:pPr>
              <w:widowControl/>
              <w:numPr>
                <w:ilvl w:val="0"/>
                <w:numId w:val="2"/>
              </w:numPr>
              <w:spacing w:line="560" w:lineRule="exact"/>
              <w:jc w:val="left"/>
              <w:rPr>
                <w:rFonts w:hint="eastAsia" w:ascii="宋体" w:hAnsi="宋体"/>
                <w:szCs w:val="21"/>
                <w:highlight w:val="none"/>
              </w:rPr>
            </w:pPr>
            <w:r>
              <w:rPr>
                <w:rFonts w:hint="eastAsia" w:ascii="宋体" w:hAnsi="宋体"/>
                <w:szCs w:val="21"/>
                <w:highlight w:val="none"/>
              </w:rPr>
              <w:t>实施方案设计全面，主题突出，针对性强，实施计划各阶段衔接紧密、操作性强、能够有效响应项目需求得15分；</w:t>
            </w:r>
          </w:p>
          <w:p w14:paraId="65ABF274">
            <w:pPr>
              <w:widowControl/>
              <w:numPr>
                <w:ilvl w:val="0"/>
                <w:numId w:val="2"/>
              </w:numPr>
              <w:spacing w:line="560" w:lineRule="exact"/>
              <w:jc w:val="left"/>
              <w:rPr>
                <w:rFonts w:hint="eastAsia" w:ascii="宋体" w:hAnsi="宋体"/>
                <w:szCs w:val="21"/>
                <w:highlight w:val="none"/>
              </w:rPr>
            </w:pPr>
            <w:r>
              <w:rPr>
                <w:rFonts w:hint="eastAsia" w:ascii="宋体" w:hAnsi="宋体"/>
                <w:szCs w:val="21"/>
                <w:highlight w:val="none"/>
              </w:rPr>
              <w:t>方案设计满足项目需求，覆盖主题突出，针对性较强，实施计划各阶段衔接</w:t>
            </w:r>
            <w:r>
              <w:rPr>
                <w:rFonts w:hint="eastAsia" w:ascii="宋体" w:hAnsi="宋体" w:eastAsia="宋体"/>
                <w:szCs w:val="21"/>
                <w:highlight w:val="none"/>
                <w:lang w:val="en-US" w:eastAsia="zh-CN"/>
              </w:rPr>
              <w:t>流畅</w:t>
            </w:r>
            <w:r>
              <w:rPr>
                <w:rFonts w:hint="eastAsia" w:ascii="宋体" w:hAnsi="宋体"/>
                <w:szCs w:val="21"/>
                <w:highlight w:val="none"/>
              </w:rPr>
              <w:t>，有较强</w:t>
            </w:r>
            <w:r>
              <w:rPr>
                <w:rFonts w:hint="eastAsia" w:ascii="宋体" w:hAnsi="宋体" w:eastAsia="宋体"/>
                <w:szCs w:val="21"/>
                <w:highlight w:val="none"/>
                <w:lang w:val="en-US" w:eastAsia="zh-CN"/>
              </w:rPr>
              <w:t>操作性</w:t>
            </w:r>
            <w:r>
              <w:rPr>
                <w:rFonts w:hint="eastAsia" w:ascii="宋体" w:hAnsi="宋体"/>
                <w:szCs w:val="21"/>
                <w:highlight w:val="none"/>
              </w:rPr>
              <w:t>得1</w:t>
            </w:r>
            <w:r>
              <w:rPr>
                <w:rFonts w:hint="eastAsia" w:ascii="宋体" w:hAnsi="宋体" w:eastAsia="宋体"/>
                <w:szCs w:val="21"/>
                <w:highlight w:val="none"/>
                <w:lang w:val="en-US" w:eastAsia="zh-CN"/>
              </w:rPr>
              <w:t>0</w:t>
            </w:r>
            <w:r>
              <w:rPr>
                <w:rFonts w:hint="eastAsia" w:ascii="宋体" w:hAnsi="宋体"/>
                <w:szCs w:val="21"/>
                <w:highlight w:val="none"/>
              </w:rPr>
              <w:t>分；</w:t>
            </w:r>
          </w:p>
          <w:p w14:paraId="1F46A1E9">
            <w:pPr>
              <w:widowControl/>
              <w:numPr>
                <w:ilvl w:val="0"/>
                <w:numId w:val="2"/>
              </w:numPr>
              <w:spacing w:line="560" w:lineRule="exact"/>
              <w:jc w:val="left"/>
              <w:rPr>
                <w:rFonts w:hint="eastAsia" w:ascii="宋体" w:hAnsi="宋体"/>
                <w:szCs w:val="21"/>
                <w:highlight w:val="none"/>
              </w:rPr>
            </w:pPr>
            <w:r>
              <w:rPr>
                <w:rFonts w:hint="eastAsia" w:ascii="宋体" w:hAnsi="宋体"/>
                <w:szCs w:val="21"/>
                <w:highlight w:val="none"/>
              </w:rPr>
              <w:t>方案设计不贴合项目情况，主题不明确，针对性差，实施计划各阶段衔接有脱节，操作性低得</w:t>
            </w:r>
            <w:r>
              <w:rPr>
                <w:rFonts w:hint="eastAsia" w:ascii="宋体" w:hAnsi="宋体" w:eastAsia="宋体"/>
                <w:szCs w:val="21"/>
                <w:highlight w:val="none"/>
                <w:lang w:val="en-US" w:eastAsia="zh-CN"/>
              </w:rPr>
              <w:t>5</w:t>
            </w:r>
            <w:r>
              <w:rPr>
                <w:rFonts w:hint="eastAsia" w:ascii="宋体" w:hAnsi="宋体"/>
                <w:szCs w:val="21"/>
                <w:highlight w:val="none"/>
              </w:rPr>
              <w:t>分；</w:t>
            </w:r>
          </w:p>
          <w:p w14:paraId="5F3C7557">
            <w:pPr>
              <w:widowControl/>
              <w:numPr>
                <w:ilvl w:val="0"/>
                <w:numId w:val="2"/>
              </w:numPr>
              <w:spacing w:line="560" w:lineRule="exact"/>
              <w:jc w:val="left"/>
              <w:rPr>
                <w:rFonts w:hint="eastAsia" w:ascii="宋体" w:hAnsi="宋体"/>
                <w:szCs w:val="21"/>
                <w:highlight w:val="none"/>
              </w:rPr>
            </w:pPr>
            <w:r>
              <w:rPr>
                <w:rFonts w:hint="eastAsia" w:ascii="宋体" w:hAnsi="宋体"/>
                <w:szCs w:val="21"/>
                <w:highlight w:val="none"/>
              </w:rPr>
              <w:t>缺项不得分。</w:t>
            </w:r>
          </w:p>
        </w:tc>
        <w:tc>
          <w:tcPr>
            <w:tcW w:w="761" w:type="dxa"/>
            <w:tcBorders>
              <w:top w:val="nil"/>
              <w:left w:val="nil"/>
              <w:bottom w:val="single" w:color="auto" w:sz="4" w:space="0"/>
              <w:right w:val="single" w:color="auto" w:sz="4" w:space="0"/>
            </w:tcBorders>
            <w:noWrap w:val="0"/>
            <w:vAlign w:val="center"/>
          </w:tcPr>
          <w:p w14:paraId="7EFEF967">
            <w:pPr>
              <w:widowControl/>
              <w:spacing w:line="560" w:lineRule="exact"/>
              <w:jc w:val="center"/>
              <w:rPr>
                <w:rFonts w:hint="eastAsia" w:ascii="宋体" w:hAnsi="宋体"/>
                <w:szCs w:val="21"/>
                <w:highlight w:val="none"/>
              </w:rPr>
            </w:pPr>
            <w:r>
              <w:rPr>
                <w:rFonts w:hint="eastAsia" w:ascii="宋体" w:hAnsi="宋体"/>
                <w:szCs w:val="21"/>
                <w:highlight w:val="none"/>
              </w:rPr>
              <w:t>15</w:t>
            </w:r>
          </w:p>
        </w:tc>
      </w:tr>
      <w:tr w14:paraId="14714DA5">
        <w:tblPrEx>
          <w:tblCellMar>
            <w:top w:w="0" w:type="dxa"/>
            <w:left w:w="108" w:type="dxa"/>
            <w:bottom w:w="0" w:type="dxa"/>
            <w:right w:w="108" w:type="dxa"/>
          </w:tblCellMar>
        </w:tblPrEx>
        <w:trPr>
          <w:trHeight w:val="550" w:hRule="atLeast"/>
          <w:jc w:val="center"/>
        </w:trPr>
        <w:tc>
          <w:tcPr>
            <w:tcW w:w="751" w:type="dxa"/>
            <w:tcBorders>
              <w:top w:val="nil"/>
              <w:left w:val="single" w:color="auto" w:sz="4" w:space="0"/>
              <w:bottom w:val="single" w:color="auto" w:sz="4" w:space="0"/>
              <w:right w:val="single" w:color="auto" w:sz="4" w:space="0"/>
            </w:tcBorders>
            <w:noWrap w:val="0"/>
            <w:vAlign w:val="center"/>
          </w:tcPr>
          <w:p w14:paraId="7D153191">
            <w:pPr>
              <w:widowControl/>
              <w:spacing w:line="560" w:lineRule="exact"/>
              <w:jc w:val="center"/>
              <w:rPr>
                <w:rFonts w:hint="eastAsia" w:ascii="宋体" w:hAnsi="宋体"/>
                <w:szCs w:val="21"/>
                <w:highlight w:val="none"/>
              </w:rPr>
            </w:pPr>
            <w:r>
              <w:rPr>
                <w:rFonts w:hint="eastAsia" w:ascii="宋体" w:hAnsi="宋体"/>
                <w:szCs w:val="21"/>
                <w:highlight w:val="none"/>
              </w:rPr>
              <w:t>2.3</w:t>
            </w:r>
          </w:p>
        </w:tc>
        <w:tc>
          <w:tcPr>
            <w:tcW w:w="1532" w:type="dxa"/>
            <w:vMerge w:val="continue"/>
            <w:tcBorders>
              <w:top w:val="nil"/>
              <w:left w:val="single" w:color="auto" w:sz="4" w:space="0"/>
              <w:bottom w:val="single" w:color="auto" w:sz="4" w:space="0"/>
              <w:right w:val="single" w:color="auto" w:sz="4" w:space="0"/>
            </w:tcBorders>
            <w:noWrap w:val="0"/>
            <w:vAlign w:val="center"/>
          </w:tcPr>
          <w:p w14:paraId="029E6123">
            <w:pPr>
              <w:widowControl/>
              <w:jc w:val="left"/>
              <w:rPr>
                <w:rFonts w:ascii="宋体" w:hAnsi="宋体"/>
                <w:szCs w:val="21"/>
                <w:highlight w:val="none"/>
              </w:rPr>
            </w:pPr>
          </w:p>
        </w:tc>
        <w:tc>
          <w:tcPr>
            <w:tcW w:w="6541" w:type="dxa"/>
            <w:tcBorders>
              <w:top w:val="nil"/>
              <w:left w:val="nil"/>
              <w:bottom w:val="single" w:color="auto" w:sz="4" w:space="0"/>
              <w:right w:val="single" w:color="auto" w:sz="4" w:space="0"/>
            </w:tcBorders>
            <w:noWrap w:val="0"/>
            <w:vAlign w:val="center"/>
          </w:tcPr>
          <w:p w14:paraId="7AC68994">
            <w:pPr>
              <w:numPr>
                <w:ilvl w:val="0"/>
                <w:numId w:val="0"/>
              </w:numPr>
              <w:spacing w:line="560" w:lineRule="exact"/>
              <w:jc w:val="left"/>
              <w:rPr>
                <w:rFonts w:ascii="宋体" w:hAnsi="宋体"/>
                <w:szCs w:val="21"/>
                <w:highlight w:val="none"/>
              </w:rPr>
            </w:pPr>
            <w:r>
              <w:rPr>
                <w:rFonts w:hint="eastAsia" w:ascii="宋体" w:hAnsi="宋体" w:eastAsia="宋体"/>
                <w:szCs w:val="21"/>
                <w:highlight w:val="none"/>
                <w:lang w:val="en-US" w:eastAsia="zh-CN"/>
              </w:rPr>
              <w:t>评委根据</w:t>
            </w:r>
            <w:r>
              <w:rPr>
                <w:rFonts w:hint="eastAsia" w:ascii="宋体" w:hAnsi="宋体"/>
                <w:szCs w:val="21"/>
                <w:highlight w:val="none"/>
              </w:rPr>
              <w:t>供应商提供的能够整合相关业内的专家资源，为项目运作提供相应理论和实务指导，项目执行人员岗位工作要求描述具体明确，责任清晰程度进行横向比较后</w:t>
            </w:r>
            <w:r>
              <w:rPr>
                <w:rFonts w:hint="eastAsia" w:ascii="宋体" w:hAnsi="宋体" w:eastAsia="宋体"/>
                <w:szCs w:val="21"/>
                <w:highlight w:val="none"/>
                <w:lang w:val="en-US" w:eastAsia="zh-CN"/>
              </w:rPr>
              <w:t>进行</w:t>
            </w:r>
            <w:r>
              <w:rPr>
                <w:rFonts w:hint="eastAsia" w:ascii="宋体" w:hAnsi="宋体"/>
                <w:szCs w:val="21"/>
                <w:highlight w:val="none"/>
              </w:rPr>
              <w:t>综合打分。</w:t>
            </w:r>
          </w:p>
          <w:p w14:paraId="5077460B">
            <w:pPr>
              <w:numPr>
                <w:ilvl w:val="0"/>
                <w:numId w:val="0"/>
              </w:numPr>
              <w:spacing w:line="560" w:lineRule="exact"/>
              <w:jc w:val="left"/>
              <w:rPr>
                <w:rFonts w:hint="eastAsia" w:ascii="宋体" w:hAnsi="宋体"/>
                <w:szCs w:val="21"/>
                <w:highlight w:val="none"/>
              </w:rPr>
            </w:pPr>
            <w:r>
              <w:rPr>
                <w:rFonts w:hint="eastAsia" w:ascii="宋体" w:hAnsi="宋体" w:eastAsia="Arial" w:cs="Arial"/>
                <w:snapToGrid w:val="0"/>
                <w:color w:val="000000"/>
                <w:kern w:val="0"/>
                <w:sz w:val="21"/>
                <w:szCs w:val="21"/>
                <w:highlight w:val="none"/>
                <w:lang w:val="en-US" w:eastAsia="en-US" w:bidi="ar-SA"/>
              </w:rPr>
              <w:t>（</w:t>
            </w:r>
            <w:r>
              <w:rPr>
                <w:rFonts w:hint="eastAsia" w:ascii="宋体" w:hAnsi="宋体" w:eastAsia="宋体" w:cs="Arial"/>
                <w:snapToGrid w:val="0"/>
                <w:color w:val="000000"/>
                <w:kern w:val="0"/>
                <w:sz w:val="21"/>
                <w:szCs w:val="21"/>
                <w:highlight w:val="none"/>
                <w:lang w:val="en-US" w:eastAsia="zh-CN" w:bidi="ar-SA"/>
              </w:rPr>
              <w:t>1</w:t>
            </w:r>
            <w:r>
              <w:rPr>
                <w:rFonts w:hint="eastAsia" w:ascii="宋体" w:hAnsi="宋体" w:eastAsia="Arial" w:cs="Arial"/>
                <w:snapToGrid w:val="0"/>
                <w:color w:val="000000"/>
                <w:kern w:val="0"/>
                <w:sz w:val="21"/>
                <w:szCs w:val="21"/>
                <w:highlight w:val="none"/>
                <w:lang w:val="en-US" w:eastAsia="en-US" w:bidi="ar-SA"/>
              </w:rPr>
              <w:t>）</w:t>
            </w:r>
            <w:r>
              <w:rPr>
                <w:rFonts w:hint="eastAsia" w:ascii="宋体" w:hAnsi="宋体"/>
                <w:szCs w:val="21"/>
                <w:highlight w:val="none"/>
              </w:rPr>
              <w:t>各行业类别专家资源丰富，岗位分工科学高效，责任清晰明确得</w:t>
            </w:r>
            <w:r>
              <w:rPr>
                <w:rFonts w:hint="eastAsia" w:ascii="宋体" w:hAnsi="宋体" w:eastAsia="宋体"/>
                <w:szCs w:val="21"/>
                <w:highlight w:val="none"/>
                <w:lang w:val="en-US" w:eastAsia="zh-CN"/>
              </w:rPr>
              <w:t>5</w:t>
            </w:r>
            <w:r>
              <w:rPr>
                <w:rFonts w:hint="eastAsia" w:ascii="宋体" w:hAnsi="宋体"/>
                <w:szCs w:val="21"/>
                <w:highlight w:val="none"/>
              </w:rPr>
              <w:t>分；</w:t>
            </w:r>
          </w:p>
          <w:p w14:paraId="0189508B">
            <w:pPr>
              <w:numPr>
                <w:ilvl w:val="0"/>
                <w:numId w:val="0"/>
              </w:numPr>
              <w:spacing w:line="560" w:lineRule="exact"/>
              <w:jc w:val="left"/>
              <w:rPr>
                <w:rFonts w:ascii="宋体" w:hAnsi="宋体"/>
                <w:szCs w:val="21"/>
                <w:highlight w:val="none"/>
              </w:rPr>
            </w:pP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2</w:t>
            </w:r>
            <w:r>
              <w:rPr>
                <w:rFonts w:hint="eastAsia" w:ascii="宋体" w:hAnsi="宋体" w:eastAsia="宋体"/>
                <w:szCs w:val="21"/>
                <w:highlight w:val="none"/>
                <w:lang w:eastAsia="zh-CN"/>
              </w:rPr>
              <w:t>）</w:t>
            </w:r>
            <w:r>
              <w:rPr>
                <w:rFonts w:hint="eastAsia" w:ascii="宋体" w:hAnsi="宋体"/>
                <w:szCs w:val="21"/>
                <w:highlight w:val="none"/>
              </w:rPr>
              <w:t>有较多各行业类别专家资源，岗位分工满足本项目运转需求，责任划分欠清晰得</w:t>
            </w:r>
            <w:r>
              <w:rPr>
                <w:rFonts w:hint="eastAsia" w:ascii="宋体" w:hAnsi="宋体" w:eastAsia="宋体"/>
                <w:szCs w:val="21"/>
                <w:highlight w:val="none"/>
                <w:lang w:val="en-US" w:eastAsia="zh-CN"/>
              </w:rPr>
              <w:t>3</w:t>
            </w:r>
            <w:r>
              <w:rPr>
                <w:rFonts w:hint="eastAsia" w:ascii="宋体" w:hAnsi="宋体"/>
                <w:szCs w:val="21"/>
                <w:highlight w:val="none"/>
              </w:rPr>
              <w:t>分；</w:t>
            </w:r>
          </w:p>
          <w:p w14:paraId="42D53A99">
            <w:pPr>
              <w:numPr>
                <w:ilvl w:val="0"/>
                <w:numId w:val="3"/>
              </w:numPr>
              <w:spacing w:line="560" w:lineRule="exact"/>
              <w:jc w:val="left"/>
              <w:rPr>
                <w:rFonts w:hint="eastAsia" w:ascii="宋体" w:hAnsi="宋体"/>
                <w:szCs w:val="21"/>
                <w:highlight w:val="none"/>
              </w:rPr>
            </w:pPr>
            <w:r>
              <w:rPr>
                <w:rFonts w:hint="eastAsia" w:ascii="宋体" w:hAnsi="宋体"/>
                <w:szCs w:val="21"/>
                <w:highlight w:val="none"/>
              </w:rPr>
              <w:t>各行业类别专家资源匮乏，岗位分工不恰当，责任划分模糊得</w:t>
            </w:r>
            <w:r>
              <w:rPr>
                <w:rFonts w:hint="eastAsia" w:ascii="宋体" w:hAnsi="宋体" w:eastAsia="宋体"/>
                <w:szCs w:val="21"/>
                <w:highlight w:val="none"/>
                <w:lang w:val="en-US" w:eastAsia="zh-CN"/>
              </w:rPr>
              <w:t>1</w:t>
            </w:r>
            <w:r>
              <w:rPr>
                <w:rFonts w:hint="eastAsia" w:ascii="宋体" w:hAnsi="宋体"/>
                <w:szCs w:val="21"/>
                <w:highlight w:val="none"/>
              </w:rPr>
              <w:t>分；</w:t>
            </w:r>
          </w:p>
          <w:p w14:paraId="0C01B581">
            <w:pPr>
              <w:numPr>
                <w:ilvl w:val="0"/>
                <w:numId w:val="3"/>
              </w:numPr>
              <w:spacing w:line="560" w:lineRule="exact"/>
              <w:jc w:val="left"/>
              <w:rPr>
                <w:rFonts w:hint="eastAsia" w:ascii="宋体" w:hAnsi="宋体"/>
                <w:szCs w:val="21"/>
                <w:highlight w:val="none"/>
              </w:rPr>
            </w:pPr>
            <w:r>
              <w:rPr>
                <w:rFonts w:hint="eastAsia" w:ascii="宋体" w:hAnsi="宋体"/>
                <w:szCs w:val="21"/>
                <w:highlight w:val="none"/>
              </w:rPr>
              <w:t>缺项不得分。</w:t>
            </w:r>
          </w:p>
        </w:tc>
        <w:tc>
          <w:tcPr>
            <w:tcW w:w="761" w:type="dxa"/>
            <w:tcBorders>
              <w:top w:val="nil"/>
              <w:left w:val="nil"/>
              <w:bottom w:val="single" w:color="auto" w:sz="4" w:space="0"/>
              <w:right w:val="single" w:color="auto" w:sz="4" w:space="0"/>
            </w:tcBorders>
            <w:noWrap w:val="0"/>
            <w:vAlign w:val="center"/>
          </w:tcPr>
          <w:p w14:paraId="0E98CC46">
            <w:pPr>
              <w:widowControl/>
              <w:spacing w:line="560" w:lineRule="exact"/>
              <w:jc w:val="center"/>
              <w:rPr>
                <w:rFonts w:hint="eastAsia" w:ascii="宋体" w:hAnsi="宋体" w:eastAsia="等线"/>
                <w:szCs w:val="21"/>
                <w:highlight w:val="none"/>
                <w:lang w:eastAsia="zh-CN"/>
              </w:rPr>
            </w:pPr>
            <w:r>
              <w:rPr>
                <w:rFonts w:hint="eastAsia" w:ascii="宋体" w:hAnsi="宋体" w:eastAsia="等线"/>
                <w:szCs w:val="21"/>
                <w:highlight w:val="none"/>
                <w:lang w:val="en-US" w:eastAsia="zh-CN"/>
              </w:rPr>
              <w:t>5</w:t>
            </w:r>
          </w:p>
        </w:tc>
      </w:tr>
      <w:tr w14:paraId="4A946FDC">
        <w:tblPrEx>
          <w:tblCellMar>
            <w:top w:w="0" w:type="dxa"/>
            <w:left w:w="108" w:type="dxa"/>
            <w:bottom w:w="0" w:type="dxa"/>
            <w:right w:w="108" w:type="dxa"/>
          </w:tblCellMar>
        </w:tblPrEx>
        <w:trPr>
          <w:trHeight w:val="416" w:hRule="atLeast"/>
          <w:jc w:val="center"/>
        </w:trPr>
        <w:tc>
          <w:tcPr>
            <w:tcW w:w="751" w:type="dxa"/>
            <w:tcBorders>
              <w:top w:val="nil"/>
              <w:left w:val="single" w:color="auto" w:sz="4" w:space="0"/>
              <w:bottom w:val="single" w:color="auto" w:sz="4" w:space="0"/>
              <w:right w:val="single" w:color="auto" w:sz="4" w:space="0"/>
            </w:tcBorders>
            <w:noWrap w:val="0"/>
            <w:vAlign w:val="center"/>
          </w:tcPr>
          <w:p w14:paraId="3BAAB6D0">
            <w:pPr>
              <w:widowControl/>
              <w:spacing w:line="560" w:lineRule="exact"/>
              <w:jc w:val="center"/>
              <w:rPr>
                <w:rFonts w:hint="eastAsia" w:ascii="宋体" w:hAnsi="宋体"/>
                <w:szCs w:val="21"/>
                <w:highlight w:val="none"/>
              </w:rPr>
            </w:pPr>
            <w:r>
              <w:rPr>
                <w:rFonts w:hint="eastAsia" w:ascii="宋体" w:hAnsi="宋体"/>
                <w:szCs w:val="21"/>
                <w:highlight w:val="none"/>
              </w:rPr>
              <w:t>2.4</w:t>
            </w:r>
          </w:p>
        </w:tc>
        <w:tc>
          <w:tcPr>
            <w:tcW w:w="1532" w:type="dxa"/>
            <w:vMerge w:val="continue"/>
            <w:tcBorders>
              <w:top w:val="nil"/>
              <w:left w:val="single" w:color="auto" w:sz="4" w:space="0"/>
              <w:bottom w:val="single" w:color="auto" w:sz="4" w:space="0"/>
              <w:right w:val="single" w:color="auto" w:sz="4" w:space="0"/>
            </w:tcBorders>
            <w:noWrap w:val="0"/>
            <w:vAlign w:val="center"/>
          </w:tcPr>
          <w:p w14:paraId="30C65944">
            <w:pPr>
              <w:widowControl/>
              <w:jc w:val="left"/>
              <w:rPr>
                <w:rFonts w:ascii="宋体" w:hAnsi="宋体"/>
                <w:szCs w:val="21"/>
                <w:highlight w:val="none"/>
              </w:rPr>
            </w:pPr>
          </w:p>
        </w:tc>
        <w:tc>
          <w:tcPr>
            <w:tcW w:w="6541" w:type="dxa"/>
            <w:tcBorders>
              <w:top w:val="nil"/>
              <w:left w:val="nil"/>
              <w:bottom w:val="single" w:color="auto" w:sz="4" w:space="0"/>
              <w:right w:val="single" w:color="auto" w:sz="4" w:space="0"/>
            </w:tcBorders>
            <w:noWrap w:val="0"/>
            <w:vAlign w:val="center"/>
          </w:tcPr>
          <w:p w14:paraId="39BA958B">
            <w:pPr>
              <w:widowControl/>
              <w:spacing w:line="560" w:lineRule="exact"/>
              <w:jc w:val="left"/>
              <w:rPr>
                <w:rFonts w:hint="eastAsia" w:ascii="宋体" w:hAnsi="宋体" w:eastAsia="宋体"/>
                <w:szCs w:val="21"/>
                <w:highlight w:val="none"/>
                <w:lang w:eastAsia="zh-CN"/>
              </w:rPr>
            </w:pPr>
            <w:r>
              <w:rPr>
                <w:rFonts w:hint="eastAsia" w:ascii="宋体" w:hAnsi="宋体" w:eastAsia="宋体"/>
                <w:szCs w:val="21"/>
                <w:highlight w:val="none"/>
                <w:lang w:val="en-US" w:eastAsia="zh-CN"/>
              </w:rPr>
              <w:t>评委根据</w:t>
            </w:r>
            <w:r>
              <w:rPr>
                <w:rFonts w:hint="eastAsia" w:ascii="宋体" w:hAnsi="宋体"/>
                <w:szCs w:val="21"/>
                <w:highlight w:val="none"/>
              </w:rPr>
              <w:t>供应商提供的风险预案进行横向比较后</w:t>
            </w:r>
            <w:r>
              <w:rPr>
                <w:rFonts w:hint="eastAsia" w:ascii="宋体" w:hAnsi="宋体" w:eastAsia="宋体"/>
                <w:szCs w:val="21"/>
                <w:highlight w:val="none"/>
                <w:lang w:val="en-US" w:eastAsia="zh-CN"/>
              </w:rPr>
              <w:t>进行</w:t>
            </w:r>
            <w:r>
              <w:rPr>
                <w:rFonts w:hint="eastAsia" w:ascii="宋体" w:hAnsi="宋体"/>
                <w:szCs w:val="21"/>
                <w:highlight w:val="none"/>
              </w:rPr>
              <w:t>综合打分</w:t>
            </w:r>
            <w:r>
              <w:rPr>
                <w:rFonts w:hint="eastAsia" w:ascii="宋体" w:hAnsi="宋体" w:eastAsia="宋体"/>
                <w:szCs w:val="21"/>
                <w:highlight w:val="none"/>
                <w:lang w:eastAsia="zh-CN"/>
              </w:rPr>
              <w:t>。</w:t>
            </w:r>
          </w:p>
          <w:p w14:paraId="0378D483">
            <w:pPr>
              <w:widowControl/>
              <w:numPr>
                <w:ilvl w:val="0"/>
                <w:numId w:val="4"/>
              </w:numPr>
              <w:spacing w:line="560" w:lineRule="exact"/>
              <w:jc w:val="left"/>
              <w:rPr>
                <w:rFonts w:hint="eastAsia" w:ascii="宋体" w:hAnsi="宋体" w:eastAsia="宋体"/>
                <w:szCs w:val="21"/>
                <w:highlight w:val="none"/>
                <w:lang w:eastAsia="zh-CN"/>
              </w:rPr>
            </w:pPr>
            <w:r>
              <w:rPr>
                <w:rFonts w:hint="eastAsia" w:ascii="宋体" w:hAnsi="宋体"/>
                <w:szCs w:val="21"/>
                <w:highlight w:val="none"/>
              </w:rPr>
              <w:t>执行中可能遇到的风险有预测，并有合理可行的风险应对方案，完整详细的得5分</w:t>
            </w:r>
            <w:r>
              <w:rPr>
                <w:rFonts w:hint="eastAsia" w:ascii="宋体" w:hAnsi="宋体" w:eastAsia="宋体"/>
                <w:szCs w:val="21"/>
                <w:highlight w:val="none"/>
                <w:lang w:eastAsia="zh-CN"/>
              </w:rPr>
              <w:t>；</w:t>
            </w:r>
          </w:p>
          <w:p w14:paraId="3271A9E2">
            <w:pPr>
              <w:widowControl/>
              <w:numPr>
                <w:ilvl w:val="0"/>
                <w:numId w:val="4"/>
              </w:numPr>
              <w:spacing w:line="560" w:lineRule="exact"/>
              <w:jc w:val="left"/>
              <w:rPr>
                <w:rFonts w:hint="eastAsia" w:ascii="宋体" w:hAnsi="宋体"/>
                <w:szCs w:val="21"/>
                <w:highlight w:val="none"/>
              </w:rPr>
            </w:pPr>
            <w:r>
              <w:rPr>
                <w:rFonts w:hint="eastAsia" w:ascii="宋体" w:hAnsi="宋体"/>
                <w:szCs w:val="21"/>
                <w:highlight w:val="none"/>
              </w:rPr>
              <w:t>对项目实施过程中可能遇到的风险有合理预测，且提供风险应对基本解决方案的得3分</w:t>
            </w:r>
            <w:r>
              <w:rPr>
                <w:rFonts w:hint="eastAsia" w:ascii="宋体" w:hAnsi="宋体" w:eastAsia="宋体"/>
                <w:szCs w:val="21"/>
                <w:highlight w:val="none"/>
                <w:lang w:eastAsia="zh-CN"/>
              </w:rPr>
              <w:t>；</w:t>
            </w:r>
          </w:p>
          <w:p w14:paraId="74D55CD3">
            <w:pPr>
              <w:widowControl/>
              <w:numPr>
                <w:ilvl w:val="0"/>
                <w:numId w:val="4"/>
              </w:numPr>
              <w:spacing w:line="560" w:lineRule="exact"/>
              <w:jc w:val="left"/>
              <w:rPr>
                <w:rFonts w:hint="eastAsia" w:ascii="宋体" w:hAnsi="宋体"/>
                <w:szCs w:val="21"/>
                <w:highlight w:val="none"/>
              </w:rPr>
            </w:pPr>
            <w:r>
              <w:rPr>
                <w:rFonts w:hint="eastAsia" w:ascii="宋体" w:hAnsi="宋体"/>
                <w:szCs w:val="21"/>
                <w:highlight w:val="none"/>
              </w:rPr>
              <w:t>对项目实施过程中可能遇到的风险有一定程度了解的得1分；</w:t>
            </w:r>
          </w:p>
          <w:p w14:paraId="320C3233">
            <w:pPr>
              <w:widowControl/>
              <w:numPr>
                <w:ilvl w:val="0"/>
                <w:numId w:val="4"/>
              </w:numPr>
              <w:spacing w:line="560" w:lineRule="exact"/>
              <w:jc w:val="left"/>
              <w:rPr>
                <w:rFonts w:hint="eastAsia" w:ascii="宋体" w:hAnsi="宋体"/>
                <w:szCs w:val="21"/>
                <w:highlight w:val="none"/>
              </w:rPr>
            </w:pPr>
            <w:r>
              <w:rPr>
                <w:rFonts w:hint="eastAsia" w:ascii="宋体" w:hAnsi="宋体"/>
                <w:szCs w:val="21"/>
                <w:highlight w:val="none"/>
              </w:rPr>
              <w:t>缺项不得分。</w:t>
            </w:r>
          </w:p>
        </w:tc>
        <w:tc>
          <w:tcPr>
            <w:tcW w:w="761" w:type="dxa"/>
            <w:tcBorders>
              <w:top w:val="nil"/>
              <w:left w:val="nil"/>
              <w:bottom w:val="single" w:color="auto" w:sz="4" w:space="0"/>
              <w:right w:val="single" w:color="auto" w:sz="4" w:space="0"/>
            </w:tcBorders>
            <w:noWrap w:val="0"/>
            <w:vAlign w:val="center"/>
          </w:tcPr>
          <w:p w14:paraId="61B8E8C7">
            <w:pPr>
              <w:widowControl/>
              <w:spacing w:line="560" w:lineRule="exact"/>
              <w:jc w:val="center"/>
              <w:rPr>
                <w:rFonts w:hint="eastAsia" w:ascii="宋体" w:hAnsi="宋体"/>
                <w:szCs w:val="21"/>
                <w:highlight w:val="none"/>
              </w:rPr>
            </w:pPr>
            <w:r>
              <w:rPr>
                <w:rFonts w:hint="eastAsia" w:ascii="宋体" w:hAnsi="宋体"/>
                <w:szCs w:val="21"/>
                <w:highlight w:val="none"/>
              </w:rPr>
              <w:t>5</w:t>
            </w:r>
          </w:p>
        </w:tc>
      </w:tr>
      <w:tr w14:paraId="5EFB0F15">
        <w:tblPrEx>
          <w:tblCellMar>
            <w:top w:w="0" w:type="dxa"/>
            <w:left w:w="108" w:type="dxa"/>
            <w:bottom w:w="0" w:type="dxa"/>
            <w:right w:w="108" w:type="dxa"/>
          </w:tblCellMar>
        </w:tblPrEx>
        <w:trPr>
          <w:trHeight w:val="860" w:hRule="atLeast"/>
          <w:jc w:val="center"/>
        </w:trPr>
        <w:tc>
          <w:tcPr>
            <w:tcW w:w="751" w:type="dxa"/>
            <w:tcBorders>
              <w:top w:val="nil"/>
              <w:left w:val="single" w:color="auto" w:sz="4" w:space="0"/>
              <w:bottom w:val="single" w:color="auto" w:sz="4" w:space="0"/>
              <w:right w:val="single" w:color="auto" w:sz="4" w:space="0"/>
            </w:tcBorders>
            <w:noWrap w:val="0"/>
            <w:vAlign w:val="center"/>
          </w:tcPr>
          <w:p w14:paraId="502413BE">
            <w:pPr>
              <w:widowControl/>
              <w:spacing w:line="560" w:lineRule="exact"/>
              <w:jc w:val="center"/>
              <w:rPr>
                <w:rFonts w:hint="default" w:ascii="宋体" w:hAnsi="宋体" w:eastAsia="宋体"/>
                <w:szCs w:val="21"/>
                <w:highlight w:val="none"/>
                <w:lang w:val="en-US" w:eastAsia="zh-CN"/>
              </w:rPr>
            </w:pPr>
            <w:r>
              <w:rPr>
                <w:rFonts w:hint="eastAsia" w:ascii="宋体" w:hAnsi="宋体"/>
                <w:szCs w:val="21"/>
                <w:highlight w:val="none"/>
              </w:rPr>
              <w:t>3</w:t>
            </w:r>
            <w:r>
              <w:rPr>
                <w:rFonts w:hint="eastAsia" w:ascii="宋体" w:hAnsi="宋体" w:eastAsia="宋体"/>
                <w:szCs w:val="21"/>
                <w:highlight w:val="none"/>
                <w:lang w:val="en-US" w:eastAsia="zh-CN"/>
              </w:rPr>
              <w:t>.1</w:t>
            </w:r>
          </w:p>
        </w:tc>
        <w:tc>
          <w:tcPr>
            <w:tcW w:w="1532" w:type="dxa"/>
            <w:tcBorders>
              <w:top w:val="nil"/>
              <w:left w:val="single" w:color="auto" w:sz="4" w:space="0"/>
              <w:bottom w:val="single" w:color="auto" w:sz="4" w:space="0"/>
              <w:right w:val="single" w:color="auto" w:sz="4" w:space="0"/>
            </w:tcBorders>
            <w:noWrap w:val="0"/>
            <w:vAlign w:val="center"/>
          </w:tcPr>
          <w:p w14:paraId="5C4AFFE9">
            <w:pPr>
              <w:widowControl/>
              <w:spacing w:line="560" w:lineRule="exact"/>
              <w:jc w:val="center"/>
              <w:rPr>
                <w:rFonts w:hint="eastAsia" w:ascii="宋体" w:hAnsi="宋体"/>
                <w:szCs w:val="21"/>
                <w:highlight w:val="none"/>
              </w:rPr>
            </w:pPr>
            <w:r>
              <w:rPr>
                <w:rFonts w:hint="eastAsia" w:ascii="宋体" w:hAnsi="宋体"/>
                <w:szCs w:val="21"/>
                <w:highlight w:val="none"/>
              </w:rPr>
              <w:t>业绩（</w:t>
            </w:r>
            <w:r>
              <w:rPr>
                <w:rFonts w:hint="eastAsia" w:ascii="宋体" w:hAnsi="宋体" w:eastAsia="等线"/>
                <w:szCs w:val="21"/>
                <w:highlight w:val="none"/>
                <w:lang w:val="en-US" w:eastAsia="zh-CN"/>
              </w:rPr>
              <w:t>15</w:t>
            </w:r>
            <w:r>
              <w:rPr>
                <w:rFonts w:hint="eastAsia" w:ascii="宋体" w:hAnsi="宋体"/>
                <w:szCs w:val="21"/>
                <w:highlight w:val="none"/>
              </w:rPr>
              <w:t>分）</w:t>
            </w:r>
          </w:p>
        </w:tc>
        <w:tc>
          <w:tcPr>
            <w:tcW w:w="6541" w:type="dxa"/>
            <w:tcBorders>
              <w:top w:val="nil"/>
              <w:left w:val="nil"/>
              <w:bottom w:val="single" w:color="auto" w:sz="4" w:space="0"/>
              <w:right w:val="single" w:color="auto" w:sz="4" w:space="0"/>
            </w:tcBorders>
            <w:noWrap w:val="0"/>
            <w:vAlign w:val="center"/>
          </w:tcPr>
          <w:p w14:paraId="4360352E">
            <w:pPr>
              <w:spacing w:line="560" w:lineRule="exact"/>
              <w:rPr>
                <w:rFonts w:hint="eastAsia" w:ascii="宋体" w:hAnsi="宋体"/>
                <w:szCs w:val="21"/>
                <w:highlight w:val="none"/>
              </w:rPr>
            </w:pPr>
            <w:r>
              <w:rPr>
                <w:rFonts w:hint="eastAsia" w:ascii="宋体" w:hAnsi="宋体"/>
                <w:szCs w:val="21"/>
                <w:highlight w:val="none"/>
              </w:rPr>
              <w:t>提供自20</w:t>
            </w:r>
            <w:r>
              <w:rPr>
                <w:rFonts w:hint="eastAsia" w:ascii="宋体" w:hAnsi="宋体" w:eastAsia="等线"/>
                <w:szCs w:val="21"/>
                <w:highlight w:val="none"/>
              </w:rPr>
              <w:t>22</w:t>
            </w:r>
            <w:r>
              <w:rPr>
                <w:rFonts w:hint="eastAsia" w:ascii="宋体" w:hAnsi="宋体"/>
                <w:szCs w:val="21"/>
                <w:highlight w:val="none"/>
              </w:rPr>
              <w:t>年0</w:t>
            </w:r>
            <w:r>
              <w:rPr>
                <w:rFonts w:hint="eastAsia" w:ascii="宋体" w:hAnsi="宋体" w:eastAsia="等线"/>
                <w:szCs w:val="21"/>
                <w:highlight w:val="none"/>
              </w:rPr>
              <w:t>6</w:t>
            </w:r>
            <w:r>
              <w:rPr>
                <w:rFonts w:hint="eastAsia" w:ascii="宋体" w:hAnsi="宋体"/>
                <w:szCs w:val="21"/>
                <w:highlight w:val="none"/>
              </w:rPr>
              <w:t>月01日以来</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以合同签订时间为准</w:t>
            </w:r>
            <w:r>
              <w:rPr>
                <w:rFonts w:hint="eastAsia" w:ascii="宋体" w:hAnsi="宋体" w:eastAsia="宋体"/>
                <w:szCs w:val="21"/>
                <w:highlight w:val="none"/>
                <w:lang w:eastAsia="zh-CN"/>
              </w:rPr>
              <w:t>）</w:t>
            </w:r>
            <w:r>
              <w:rPr>
                <w:rFonts w:hint="eastAsia" w:ascii="宋体" w:hAnsi="宋体"/>
                <w:szCs w:val="21"/>
                <w:highlight w:val="none"/>
              </w:rPr>
              <w:t>，供应商承接过的培训服务业绩的，每提供一个得</w:t>
            </w:r>
            <w:r>
              <w:rPr>
                <w:rFonts w:hint="eastAsia" w:ascii="宋体" w:hAnsi="宋体" w:eastAsia="宋体"/>
                <w:szCs w:val="21"/>
                <w:highlight w:val="none"/>
                <w:lang w:val="en-US" w:eastAsia="zh-CN"/>
              </w:rPr>
              <w:t>3</w:t>
            </w:r>
            <w:r>
              <w:rPr>
                <w:rFonts w:hint="eastAsia" w:ascii="宋体" w:hAnsi="宋体"/>
                <w:szCs w:val="21"/>
                <w:highlight w:val="none"/>
              </w:rPr>
              <w:t>分，本项最高</w:t>
            </w:r>
            <w:r>
              <w:rPr>
                <w:rFonts w:hint="eastAsia" w:ascii="宋体" w:hAnsi="宋体" w:eastAsia="等线"/>
                <w:szCs w:val="21"/>
                <w:highlight w:val="none"/>
              </w:rPr>
              <w:t>1</w:t>
            </w:r>
            <w:r>
              <w:rPr>
                <w:rFonts w:hint="eastAsia" w:ascii="宋体" w:hAnsi="宋体" w:eastAsia="等线"/>
                <w:szCs w:val="21"/>
                <w:highlight w:val="none"/>
                <w:lang w:val="en-US" w:eastAsia="zh-CN"/>
              </w:rPr>
              <w:t>5</w:t>
            </w:r>
            <w:r>
              <w:rPr>
                <w:rFonts w:hint="eastAsia" w:ascii="宋体" w:hAnsi="宋体"/>
                <w:szCs w:val="21"/>
                <w:highlight w:val="none"/>
              </w:rPr>
              <w:t>分。（请提供合同复印件或中标（成交）通知书复印件并加盖公章，合同或中标（成交）通知书应能反映相关信息</w:t>
            </w:r>
            <w:r>
              <w:rPr>
                <w:rFonts w:hint="eastAsia" w:ascii="宋体" w:hAnsi="宋体" w:eastAsia="宋体"/>
                <w:szCs w:val="21"/>
                <w:highlight w:val="none"/>
                <w:lang w:eastAsia="zh-CN"/>
              </w:rPr>
              <w:t>，</w:t>
            </w:r>
            <w:r>
              <w:rPr>
                <w:rFonts w:hint="eastAsia" w:ascii="宋体" w:hAnsi="宋体" w:eastAsia="宋体" w:cs="宋体"/>
                <w:sz w:val="21"/>
                <w:szCs w:val="21"/>
                <w:highlight w:val="none"/>
                <w:lang w:val="en-US" w:eastAsia="zh-CN" w:bidi="ar-SA"/>
              </w:rPr>
              <w:t>合同上没有明确注明合同签订日期的业绩不予认可</w:t>
            </w:r>
            <w:r>
              <w:rPr>
                <w:rFonts w:hint="eastAsia" w:ascii="宋体" w:hAnsi="宋体"/>
                <w:szCs w:val="21"/>
                <w:highlight w:val="none"/>
              </w:rPr>
              <w:t>）。</w:t>
            </w:r>
          </w:p>
        </w:tc>
        <w:tc>
          <w:tcPr>
            <w:tcW w:w="761" w:type="dxa"/>
            <w:tcBorders>
              <w:top w:val="nil"/>
              <w:left w:val="nil"/>
              <w:bottom w:val="single" w:color="auto" w:sz="4" w:space="0"/>
              <w:right w:val="single" w:color="auto" w:sz="4" w:space="0"/>
            </w:tcBorders>
            <w:noWrap w:val="0"/>
            <w:vAlign w:val="center"/>
          </w:tcPr>
          <w:p w14:paraId="4EA4E1B9">
            <w:pPr>
              <w:spacing w:line="560" w:lineRule="exact"/>
              <w:jc w:val="center"/>
              <w:rPr>
                <w:rFonts w:hint="eastAsia" w:ascii="宋体" w:hAnsi="宋体" w:eastAsia="等线"/>
                <w:szCs w:val="21"/>
                <w:highlight w:val="none"/>
                <w:lang w:val="en-US" w:eastAsia="zh-CN"/>
              </w:rPr>
            </w:pPr>
            <w:r>
              <w:rPr>
                <w:rFonts w:hint="eastAsia" w:ascii="宋体" w:hAnsi="宋体" w:eastAsia="等线"/>
                <w:szCs w:val="21"/>
                <w:highlight w:val="none"/>
              </w:rPr>
              <w:t>1</w:t>
            </w:r>
            <w:r>
              <w:rPr>
                <w:rFonts w:hint="eastAsia" w:ascii="宋体" w:hAnsi="宋体" w:eastAsia="等线"/>
                <w:szCs w:val="21"/>
                <w:highlight w:val="none"/>
                <w:lang w:val="en-US" w:eastAsia="zh-CN"/>
              </w:rPr>
              <w:t>5</w:t>
            </w:r>
          </w:p>
        </w:tc>
      </w:tr>
      <w:tr w14:paraId="2C165DF3">
        <w:tblPrEx>
          <w:tblCellMar>
            <w:top w:w="0" w:type="dxa"/>
            <w:left w:w="108" w:type="dxa"/>
            <w:bottom w:w="0" w:type="dxa"/>
            <w:right w:w="108" w:type="dxa"/>
          </w:tblCellMar>
        </w:tblPrEx>
        <w:trPr>
          <w:trHeight w:val="860" w:hRule="atLeast"/>
          <w:jc w:val="center"/>
        </w:trPr>
        <w:tc>
          <w:tcPr>
            <w:tcW w:w="751" w:type="dxa"/>
            <w:tcBorders>
              <w:top w:val="nil"/>
              <w:left w:val="single" w:color="auto" w:sz="4" w:space="0"/>
              <w:bottom w:val="single" w:color="auto" w:sz="4" w:space="0"/>
              <w:right w:val="single" w:color="auto" w:sz="4" w:space="0"/>
            </w:tcBorders>
            <w:noWrap w:val="0"/>
            <w:vAlign w:val="center"/>
          </w:tcPr>
          <w:p w14:paraId="171D9492">
            <w:pPr>
              <w:widowControl/>
              <w:spacing w:line="560" w:lineRule="exact"/>
              <w:jc w:val="center"/>
              <w:rPr>
                <w:rFonts w:hint="eastAsia" w:ascii="宋体" w:hAnsi="宋体"/>
                <w:szCs w:val="21"/>
                <w:highlight w:val="none"/>
              </w:rPr>
            </w:pPr>
            <w:r>
              <w:rPr>
                <w:rFonts w:hint="eastAsia" w:ascii="宋体" w:hAnsi="宋体"/>
                <w:szCs w:val="21"/>
                <w:highlight w:val="none"/>
              </w:rPr>
              <w:t>4.1</w:t>
            </w:r>
          </w:p>
        </w:tc>
        <w:tc>
          <w:tcPr>
            <w:tcW w:w="1532" w:type="dxa"/>
            <w:vMerge w:val="restart"/>
            <w:tcBorders>
              <w:top w:val="nil"/>
              <w:left w:val="single" w:color="auto" w:sz="4" w:space="0"/>
              <w:bottom w:val="single" w:color="auto" w:sz="4" w:space="0"/>
              <w:right w:val="single" w:color="auto" w:sz="4" w:space="0"/>
            </w:tcBorders>
            <w:noWrap w:val="0"/>
            <w:vAlign w:val="center"/>
          </w:tcPr>
          <w:p w14:paraId="0BBB895E">
            <w:pPr>
              <w:widowControl/>
              <w:spacing w:line="560" w:lineRule="exact"/>
              <w:jc w:val="center"/>
              <w:rPr>
                <w:rFonts w:hint="eastAsia" w:ascii="宋体" w:hAnsi="宋体"/>
                <w:szCs w:val="21"/>
                <w:highlight w:val="none"/>
              </w:rPr>
            </w:pPr>
            <w:r>
              <w:rPr>
                <w:rFonts w:hint="eastAsia" w:ascii="宋体" w:hAnsi="宋体"/>
                <w:szCs w:val="21"/>
                <w:highlight w:val="none"/>
              </w:rPr>
              <w:t xml:space="preserve">履约能力 </w:t>
            </w:r>
            <w:r>
              <w:rPr>
                <w:rFonts w:ascii="宋体" w:hAnsi="宋体" w:eastAsia="等线"/>
                <w:szCs w:val="21"/>
                <w:highlight w:val="none"/>
              </w:rPr>
              <w:t xml:space="preserve">  </w:t>
            </w:r>
            <w:r>
              <w:rPr>
                <w:rFonts w:hint="eastAsia" w:ascii="宋体" w:hAnsi="宋体"/>
                <w:szCs w:val="21"/>
                <w:highlight w:val="none"/>
              </w:rPr>
              <w:t>（</w:t>
            </w:r>
            <w:r>
              <w:rPr>
                <w:rFonts w:hint="eastAsia" w:ascii="宋体" w:hAnsi="宋体" w:eastAsia="等线"/>
                <w:szCs w:val="21"/>
                <w:highlight w:val="none"/>
                <w:lang w:val="en-US" w:eastAsia="zh-CN"/>
              </w:rPr>
              <w:t>25</w:t>
            </w:r>
            <w:r>
              <w:rPr>
                <w:rFonts w:hint="eastAsia" w:ascii="宋体" w:hAnsi="宋体"/>
                <w:szCs w:val="21"/>
                <w:highlight w:val="none"/>
              </w:rPr>
              <w:t>分）</w:t>
            </w:r>
          </w:p>
        </w:tc>
        <w:tc>
          <w:tcPr>
            <w:tcW w:w="6541" w:type="dxa"/>
            <w:tcBorders>
              <w:top w:val="nil"/>
              <w:left w:val="nil"/>
              <w:bottom w:val="single" w:color="auto" w:sz="4" w:space="0"/>
              <w:right w:val="single" w:color="auto" w:sz="4" w:space="0"/>
            </w:tcBorders>
            <w:noWrap w:val="0"/>
            <w:vAlign w:val="center"/>
          </w:tcPr>
          <w:p w14:paraId="18607891">
            <w:pPr>
              <w:spacing w:line="560" w:lineRule="exact"/>
              <w:rPr>
                <w:rFonts w:hint="eastAsia" w:ascii="宋体" w:hAnsi="宋体" w:eastAsia="宋体"/>
                <w:szCs w:val="21"/>
                <w:highlight w:val="none"/>
                <w:lang w:eastAsia="zh-CN"/>
              </w:rPr>
            </w:pPr>
            <w:r>
              <w:rPr>
                <w:rFonts w:hint="eastAsia" w:ascii="宋体" w:hAnsi="宋体"/>
                <w:szCs w:val="21"/>
                <w:highlight w:val="none"/>
              </w:rPr>
              <w:t>项目主管素质要求：拟为本次项目配备的项目主管有</w:t>
            </w:r>
            <w:r>
              <w:rPr>
                <w:rFonts w:hint="eastAsia" w:ascii="宋体" w:hAnsi="宋体" w:eastAsia="等线"/>
                <w:szCs w:val="21"/>
                <w:highlight w:val="none"/>
              </w:rPr>
              <w:t>4</w:t>
            </w:r>
            <w:r>
              <w:rPr>
                <w:rFonts w:hint="eastAsia" w:ascii="宋体" w:hAnsi="宋体"/>
                <w:szCs w:val="21"/>
                <w:highlight w:val="none"/>
              </w:rPr>
              <w:t>年以上（含</w:t>
            </w:r>
            <w:r>
              <w:rPr>
                <w:rFonts w:hint="eastAsia" w:ascii="宋体" w:hAnsi="宋体" w:eastAsia="等线"/>
                <w:szCs w:val="21"/>
                <w:highlight w:val="none"/>
              </w:rPr>
              <w:t>4</w:t>
            </w:r>
            <w:r>
              <w:rPr>
                <w:rFonts w:hint="eastAsia" w:ascii="宋体" w:hAnsi="宋体"/>
                <w:szCs w:val="21"/>
                <w:highlight w:val="none"/>
              </w:rPr>
              <w:t>年）从事养老服务工作或培训工作经验，具备较强的组织协调能力和责任心，能和政府部门较好的沟通的得</w:t>
            </w:r>
            <w:r>
              <w:rPr>
                <w:rFonts w:hint="eastAsia" w:ascii="宋体" w:hAnsi="宋体" w:eastAsia="等线"/>
                <w:szCs w:val="21"/>
                <w:highlight w:val="none"/>
                <w:lang w:val="en-US" w:eastAsia="zh-CN"/>
              </w:rPr>
              <w:t>5</w:t>
            </w:r>
            <w:r>
              <w:rPr>
                <w:rFonts w:hint="eastAsia" w:ascii="宋体" w:hAnsi="宋体"/>
                <w:szCs w:val="21"/>
                <w:highlight w:val="none"/>
              </w:rPr>
              <w:t>分；拟为本次项目配备的项目主管有</w:t>
            </w:r>
            <w:r>
              <w:rPr>
                <w:rFonts w:hint="eastAsia" w:ascii="宋体" w:hAnsi="宋体" w:eastAsia="等线"/>
                <w:szCs w:val="21"/>
                <w:highlight w:val="none"/>
                <w:lang w:val="en-US" w:eastAsia="zh-CN"/>
              </w:rPr>
              <w:t>2</w:t>
            </w:r>
            <w:r>
              <w:rPr>
                <w:rFonts w:hint="eastAsia" w:ascii="宋体" w:hAnsi="宋体"/>
                <w:szCs w:val="21"/>
                <w:highlight w:val="none"/>
              </w:rPr>
              <w:t>年以上（含</w:t>
            </w:r>
            <w:r>
              <w:rPr>
                <w:rFonts w:hint="eastAsia" w:ascii="宋体" w:hAnsi="宋体" w:eastAsia="宋体"/>
                <w:szCs w:val="21"/>
                <w:highlight w:val="none"/>
                <w:lang w:val="en-US" w:eastAsia="zh-CN"/>
              </w:rPr>
              <w:t>2</w:t>
            </w:r>
            <w:r>
              <w:rPr>
                <w:rFonts w:hint="eastAsia" w:ascii="宋体" w:hAnsi="宋体"/>
                <w:szCs w:val="21"/>
                <w:highlight w:val="none"/>
              </w:rPr>
              <w:t>年）4年以下从事养老服务工作或培训工作经验，具备较强的组织协调能力和责任心，能和政府部门较好</w:t>
            </w:r>
            <w:r>
              <w:rPr>
                <w:rFonts w:hint="eastAsia" w:ascii="宋体" w:hAnsi="宋体" w:eastAsia="宋体"/>
                <w:szCs w:val="21"/>
                <w:highlight w:val="none"/>
                <w:lang w:eastAsia="zh-CN"/>
              </w:rPr>
              <w:t>地</w:t>
            </w:r>
            <w:r>
              <w:rPr>
                <w:rFonts w:hint="eastAsia" w:ascii="宋体" w:hAnsi="宋体"/>
                <w:szCs w:val="21"/>
                <w:highlight w:val="none"/>
              </w:rPr>
              <w:t>沟通的得</w:t>
            </w:r>
            <w:r>
              <w:rPr>
                <w:rFonts w:hint="eastAsia" w:ascii="宋体" w:hAnsi="宋体" w:eastAsia="等线"/>
                <w:szCs w:val="21"/>
                <w:highlight w:val="none"/>
                <w:lang w:val="en-US" w:eastAsia="zh-CN"/>
              </w:rPr>
              <w:t>3</w:t>
            </w:r>
            <w:r>
              <w:rPr>
                <w:rFonts w:hint="eastAsia" w:ascii="宋体" w:hAnsi="宋体"/>
                <w:szCs w:val="21"/>
                <w:highlight w:val="none"/>
              </w:rPr>
              <w:t>分；不足</w:t>
            </w:r>
            <w:r>
              <w:rPr>
                <w:rFonts w:hint="eastAsia" w:ascii="宋体" w:hAnsi="宋体" w:eastAsia="宋体"/>
                <w:szCs w:val="21"/>
                <w:highlight w:val="none"/>
                <w:lang w:val="en-US" w:eastAsia="zh-CN"/>
              </w:rPr>
              <w:t>2</w:t>
            </w:r>
            <w:r>
              <w:rPr>
                <w:rFonts w:hint="eastAsia" w:ascii="宋体" w:hAnsi="宋体"/>
                <w:szCs w:val="21"/>
                <w:highlight w:val="none"/>
              </w:rPr>
              <w:t>年或没有提供不得分</w:t>
            </w:r>
            <w:r>
              <w:rPr>
                <w:rFonts w:hint="eastAsia" w:ascii="宋体" w:hAnsi="宋体" w:eastAsia="宋体"/>
                <w:szCs w:val="21"/>
                <w:highlight w:val="none"/>
                <w:lang w:eastAsia="zh-CN"/>
              </w:rPr>
              <w:t>。</w:t>
            </w:r>
          </w:p>
          <w:p w14:paraId="5E4C76A1">
            <w:pPr>
              <w:spacing w:line="560" w:lineRule="exact"/>
              <w:rPr>
                <w:rFonts w:hint="eastAsia" w:ascii="宋体" w:hAnsi="宋体"/>
                <w:szCs w:val="21"/>
                <w:highlight w:val="none"/>
              </w:rPr>
            </w:pPr>
            <w:r>
              <w:rPr>
                <w:rFonts w:hint="eastAsia" w:ascii="宋体" w:hAnsi="宋体"/>
                <w:szCs w:val="21"/>
                <w:highlight w:val="none"/>
              </w:rPr>
              <w:t>（需提供项目负责人从事养老服务工作或培训工作经验的有效证明材料(如过往合同签署人、过往项目任命书、在养老或培训类单位缴纳对应年限社保的证明)，且项目负责人必须为供应商专职人员，须提供参加本次政府采购活动前供应商为其缴纳社保的证明复印件</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1个月</w:t>
            </w:r>
            <w:r>
              <w:rPr>
                <w:rFonts w:hint="eastAsia" w:ascii="宋体" w:hAnsi="宋体" w:eastAsia="宋体"/>
                <w:szCs w:val="21"/>
                <w:highlight w:val="none"/>
                <w:lang w:eastAsia="zh-CN"/>
              </w:rPr>
              <w:t>）</w:t>
            </w:r>
            <w:r>
              <w:rPr>
                <w:rFonts w:hint="eastAsia" w:ascii="宋体" w:hAnsi="宋体"/>
                <w:szCs w:val="21"/>
                <w:highlight w:val="none"/>
              </w:rPr>
              <w:t>并加盖公章，如为退休人员，则需提供返聘合同复印件并加盖公章；缺项不得分）</w:t>
            </w:r>
          </w:p>
        </w:tc>
        <w:tc>
          <w:tcPr>
            <w:tcW w:w="761" w:type="dxa"/>
            <w:tcBorders>
              <w:top w:val="nil"/>
              <w:left w:val="nil"/>
              <w:bottom w:val="single" w:color="auto" w:sz="4" w:space="0"/>
              <w:right w:val="single" w:color="auto" w:sz="4" w:space="0"/>
            </w:tcBorders>
            <w:noWrap w:val="0"/>
            <w:vAlign w:val="center"/>
          </w:tcPr>
          <w:p w14:paraId="0426E712">
            <w:pPr>
              <w:spacing w:line="560" w:lineRule="exact"/>
              <w:jc w:val="center"/>
              <w:rPr>
                <w:rFonts w:hint="eastAsia" w:ascii="宋体" w:hAnsi="宋体" w:eastAsia="等线"/>
                <w:szCs w:val="21"/>
                <w:highlight w:val="none"/>
                <w:lang w:eastAsia="zh-CN"/>
              </w:rPr>
            </w:pPr>
            <w:r>
              <w:rPr>
                <w:rFonts w:hint="eastAsia" w:ascii="宋体" w:hAnsi="宋体" w:eastAsia="等线"/>
                <w:szCs w:val="21"/>
                <w:highlight w:val="none"/>
                <w:lang w:val="en-US" w:eastAsia="zh-CN"/>
              </w:rPr>
              <w:t>5</w:t>
            </w:r>
          </w:p>
        </w:tc>
      </w:tr>
      <w:tr w14:paraId="0343F155">
        <w:tblPrEx>
          <w:tblCellMar>
            <w:top w:w="0" w:type="dxa"/>
            <w:left w:w="108" w:type="dxa"/>
            <w:bottom w:w="0" w:type="dxa"/>
            <w:right w:w="108" w:type="dxa"/>
          </w:tblCellMar>
        </w:tblPrEx>
        <w:trPr>
          <w:trHeight w:val="860" w:hRule="atLeast"/>
          <w:jc w:val="center"/>
        </w:trPr>
        <w:tc>
          <w:tcPr>
            <w:tcW w:w="751" w:type="dxa"/>
            <w:tcBorders>
              <w:top w:val="nil"/>
              <w:left w:val="single" w:color="auto" w:sz="4" w:space="0"/>
              <w:bottom w:val="single" w:color="auto" w:sz="4" w:space="0"/>
              <w:right w:val="single" w:color="auto" w:sz="4" w:space="0"/>
            </w:tcBorders>
            <w:noWrap w:val="0"/>
            <w:vAlign w:val="center"/>
          </w:tcPr>
          <w:p w14:paraId="3C92F644">
            <w:pPr>
              <w:widowControl/>
              <w:spacing w:line="560" w:lineRule="exact"/>
              <w:jc w:val="center"/>
              <w:rPr>
                <w:rFonts w:hint="eastAsia" w:ascii="宋体" w:hAnsi="宋体" w:eastAsia="宋体"/>
                <w:szCs w:val="21"/>
                <w:highlight w:val="none"/>
                <w:lang w:val="en-US" w:eastAsia="zh-CN"/>
              </w:rPr>
            </w:pPr>
            <w:r>
              <w:rPr>
                <w:rFonts w:hint="eastAsia" w:ascii="宋体" w:hAnsi="宋体"/>
                <w:szCs w:val="21"/>
                <w:highlight w:val="none"/>
              </w:rPr>
              <w:t>4.</w:t>
            </w:r>
            <w:r>
              <w:rPr>
                <w:rFonts w:hint="eastAsia" w:ascii="宋体" w:hAnsi="宋体" w:eastAsia="宋体"/>
                <w:szCs w:val="21"/>
                <w:highlight w:val="none"/>
                <w:lang w:val="en-US" w:eastAsia="zh-CN"/>
              </w:rPr>
              <w:t>2</w:t>
            </w:r>
          </w:p>
        </w:tc>
        <w:tc>
          <w:tcPr>
            <w:tcW w:w="1532" w:type="dxa"/>
            <w:vMerge w:val="continue"/>
            <w:tcBorders>
              <w:top w:val="nil"/>
              <w:left w:val="single" w:color="auto" w:sz="4" w:space="0"/>
              <w:bottom w:val="single" w:color="auto" w:sz="4" w:space="0"/>
              <w:right w:val="single" w:color="auto" w:sz="4" w:space="0"/>
            </w:tcBorders>
            <w:noWrap w:val="0"/>
            <w:vAlign w:val="center"/>
          </w:tcPr>
          <w:p w14:paraId="357D2D45">
            <w:pPr>
              <w:widowControl/>
              <w:jc w:val="left"/>
              <w:rPr>
                <w:rFonts w:ascii="宋体" w:hAnsi="宋体"/>
                <w:szCs w:val="21"/>
                <w:highlight w:val="none"/>
              </w:rPr>
            </w:pPr>
          </w:p>
        </w:tc>
        <w:tc>
          <w:tcPr>
            <w:tcW w:w="6541" w:type="dxa"/>
            <w:tcBorders>
              <w:top w:val="nil"/>
              <w:left w:val="nil"/>
              <w:bottom w:val="single" w:color="auto" w:sz="4" w:space="0"/>
              <w:right w:val="single" w:color="auto" w:sz="4" w:space="0"/>
            </w:tcBorders>
            <w:noWrap w:val="0"/>
            <w:vAlign w:val="center"/>
          </w:tcPr>
          <w:p w14:paraId="24615131">
            <w:pPr>
              <w:widowControl/>
              <w:spacing w:line="560" w:lineRule="exact"/>
              <w:jc w:val="left"/>
              <w:rPr>
                <w:rFonts w:hint="eastAsia" w:ascii="宋体" w:hAnsi="宋体"/>
                <w:szCs w:val="21"/>
                <w:highlight w:val="none"/>
              </w:rPr>
            </w:pPr>
            <w:r>
              <w:rPr>
                <w:rFonts w:hint="eastAsia" w:ascii="宋体" w:hAnsi="宋体"/>
                <w:szCs w:val="21"/>
                <w:highlight w:val="none"/>
              </w:rPr>
              <w:t>拟为本次项目配备的授课老师持有人社部门颁发的中级（四级）养老护理员证书得1分/人</w:t>
            </w:r>
            <w:r>
              <w:rPr>
                <w:rFonts w:ascii="宋体" w:hAnsi="宋体"/>
                <w:szCs w:val="21"/>
                <w:highlight w:val="none"/>
              </w:rPr>
              <w:t>、</w:t>
            </w:r>
            <w:r>
              <w:rPr>
                <w:rFonts w:hint="eastAsia" w:ascii="宋体" w:hAnsi="宋体"/>
                <w:szCs w:val="21"/>
                <w:highlight w:val="none"/>
              </w:rPr>
              <w:t>高级（三级）养老护理员得2分/人</w:t>
            </w:r>
            <w:r>
              <w:rPr>
                <w:rFonts w:ascii="宋体" w:hAnsi="宋体"/>
                <w:szCs w:val="21"/>
                <w:highlight w:val="none"/>
              </w:rPr>
              <w:t>、</w:t>
            </w:r>
            <w:r>
              <w:rPr>
                <w:rFonts w:hint="eastAsia" w:ascii="宋体" w:hAnsi="宋体"/>
                <w:szCs w:val="21"/>
                <w:highlight w:val="none"/>
              </w:rPr>
              <w:t>养老护理员技师（一级、二级）得3分/人，本项累计最高得14分（需</w:t>
            </w:r>
            <w:r>
              <w:rPr>
                <w:rFonts w:hint="eastAsia" w:ascii="宋体" w:hAnsi="宋体" w:eastAsia="宋体"/>
                <w:szCs w:val="21"/>
                <w:highlight w:val="none"/>
                <w:lang w:eastAsia="zh-CN"/>
              </w:rPr>
              <w:t>提供</w:t>
            </w:r>
            <w:r>
              <w:rPr>
                <w:rFonts w:hint="eastAsia" w:ascii="宋体" w:hAnsi="宋体"/>
                <w:szCs w:val="21"/>
                <w:highlight w:val="none"/>
              </w:rPr>
              <w:t>养老护理师证书及参加本次政府采购活动前（至少一个月）为其缴纳社保的证明复印件并加盖公章，如为退休人员，则需提供返聘合同复印件并加盖公章）</w:t>
            </w:r>
          </w:p>
        </w:tc>
        <w:tc>
          <w:tcPr>
            <w:tcW w:w="761" w:type="dxa"/>
            <w:tcBorders>
              <w:top w:val="nil"/>
              <w:left w:val="nil"/>
              <w:bottom w:val="single" w:color="auto" w:sz="4" w:space="0"/>
              <w:right w:val="single" w:color="auto" w:sz="4" w:space="0"/>
            </w:tcBorders>
            <w:noWrap w:val="0"/>
            <w:vAlign w:val="center"/>
          </w:tcPr>
          <w:p w14:paraId="7063B248">
            <w:pPr>
              <w:widowControl/>
              <w:spacing w:line="560" w:lineRule="exact"/>
              <w:jc w:val="center"/>
              <w:rPr>
                <w:rFonts w:hint="eastAsia" w:ascii="宋体" w:hAnsi="宋体" w:eastAsia="等线"/>
                <w:szCs w:val="21"/>
                <w:highlight w:val="none"/>
              </w:rPr>
            </w:pPr>
            <w:r>
              <w:rPr>
                <w:rFonts w:hint="eastAsia" w:ascii="宋体" w:hAnsi="宋体" w:eastAsia="等线"/>
                <w:szCs w:val="21"/>
                <w:highlight w:val="none"/>
              </w:rPr>
              <w:t>14</w:t>
            </w:r>
          </w:p>
        </w:tc>
      </w:tr>
      <w:tr w14:paraId="06FF61A2">
        <w:tblPrEx>
          <w:tblCellMar>
            <w:top w:w="0" w:type="dxa"/>
            <w:left w:w="108" w:type="dxa"/>
            <w:bottom w:w="0" w:type="dxa"/>
            <w:right w:w="108" w:type="dxa"/>
          </w:tblCellMar>
        </w:tblPrEx>
        <w:trPr>
          <w:trHeight w:val="691" w:hRule="atLeast"/>
          <w:jc w:val="center"/>
        </w:trPr>
        <w:tc>
          <w:tcPr>
            <w:tcW w:w="751" w:type="dxa"/>
            <w:tcBorders>
              <w:top w:val="nil"/>
              <w:left w:val="single" w:color="auto" w:sz="4" w:space="0"/>
              <w:bottom w:val="single" w:color="auto" w:sz="4" w:space="0"/>
              <w:right w:val="single" w:color="auto" w:sz="4" w:space="0"/>
            </w:tcBorders>
            <w:noWrap w:val="0"/>
            <w:vAlign w:val="center"/>
          </w:tcPr>
          <w:p w14:paraId="1FF2B0D4">
            <w:pPr>
              <w:widowControl/>
              <w:spacing w:line="560" w:lineRule="exact"/>
              <w:jc w:val="center"/>
              <w:rPr>
                <w:rFonts w:hint="eastAsia" w:ascii="宋体" w:hAnsi="宋体" w:eastAsia="宋体"/>
                <w:szCs w:val="21"/>
                <w:highlight w:val="none"/>
                <w:lang w:val="en-US" w:eastAsia="zh-CN"/>
              </w:rPr>
            </w:pPr>
            <w:r>
              <w:rPr>
                <w:rFonts w:hint="eastAsia" w:ascii="宋体" w:hAnsi="宋体"/>
                <w:szCs w:val="21"/>
                <w:highlight w:val="none"/>
              </w:rPr>
              <w:t>4.</w:t>
            </w:r>
            <w:r>
              <w:rPr>
                <w:rFonts w:hint="eastAsia" w:ascii="宋体" w:hAnsi="宋体" w:eastAsia="宋体"/>
                <w:szCs w:val="21"/>
                <w:highlight w:val="none"/>
                <w:lang w:val="en-US" w:eastAsia="zh-CN"/>
              </w:rPr>
              <w:t>3</w:t>
            </w:r>
          </w:p>
        </w:tc>
        <w:tc>
          <w:tcPr>
            <w:tcW w:w="1532" w:type="dxa"/>
            <w:vMerge w:val="continue"/>
            <w:tcBorders>
              <w:top w:val="nil"/>
              <w:left w:val="single" w:color="auto" w:sz="4" w:space="0"/>
              <w:bottom w:val="single" w:color="auto" w:sz="4" w:space="0"/>
              <w:right w:val="single" w:color="auto" w:sz="4" w:space="0"/>
            </w:tcBorders>
            <w:noWrap w:val="0"/>
            <w:vAlign w:val="center"/>
          </w:tcPr>
          <w:p w14:paraId="426FA205">
            <w:pPr>
              <w:widowControl/>
              <w:jc w:val="left"/>
              <w:rPr>
                <w:rFonts w:ascii="宋体" w:hAnsi="宋体"/>
                <w:szCs w:val="21"/>
                <w:highlight w:val="none"/>
              </w:rPr>
            </w:pPr>
          </w:p>
        </w:tc>
        <w:tc>
          <w:tcPr>
            <w:tcW w:w="6541" w:type="dxa"/>
            <w:tcBorders>
              <w:top w:val="nil"/>
              <w:left w:val="nil"/>
              <w:bottom w:val="single" w:color="auto" w:sz="4" w:space="0"/>
              <w:right w:val="single" w:color="auto" w:sz="4" w:space="0"/>
            </w:tcBorders>
            <w:noWrap w:val="0"/>
            <w:vAlign w:val="center"/>
          </w:tcPr>
          <w:p w14:paraId="576E1E88">
            <w:pPr>
              <w:widowControl/>
              <w:spacing w:line="560" w:lineRule="exact"/>
              <w:jc w:val="left"/>
              <w:rPr>
                <w:rFonts w:hint="eastAsia" w:ascii="宋体" w:hAnsi="宋体"/>
                <w:szCs w:val="21"/>
                <w:highlight w:val="none"/>
              </w:rPr>
            </w:pPr>
            <w:r>
              <w:rPr>
                <w:rFonts w:hint="eastAsia" w:ascii="宋体" w:hAnsi="宋体"/>
                <w:szCs w:val="21"/>
                <w:highlight w:val="none"/>
              </w:rPr>
              <w:t>拟为本次项目配备的培训讲师或督导人员中涵盖养老、社会工作学、心理学、康复治疗（护理类）、每覆盖其中任一专业的得2分，本项最高得6分。（须提供相关证明材料，同一人员资质不重复累计。须提供与其签订的合作协议、社保缴纳记录、工资发放证明、退休返聘合同（其中任一即可），提供不全或缺项不得分）</w:t>
            </w:r>
          </w:p>
        </w:tc>
        <w:tc>
          <w:tcPr>
            <w:tcW w:w="761" w:type="dxa"/>
            <w:tcBorders>
              <w:top w:val="nil"/>
              <w:left w:val="nil"/>
              <w:bottom w:val="single" w:color="auto" w:sz="4" w:space="0"/>
              <w:right w:val="single" w:color="auto" w:sz="4" w:space="0"/>
            </w:tcBorders>
            <w:noWrap w:val="0"/>
            <w:vAlign w:val="center"/>
          </w:tcPr>
          <w:p w14:paraId="56649782">
            <w:pPr>
              <w:widowControl/>
              <w:spacing w:line="560" w:lineRule="exact"/>
              <w:jc w:val="center"/>
              <w:rPr>
                <w:rFonts w:hint="eastAsia" w:ascii="宋体" w:hAnsi="宋体"/>
                <w:szCs w:val="21"/>
                <w:highlight w:val="none"/>
              </w:rPr>
            </w:pPr>
            <w:r>
              <w:rPr>
                <w:rFonts w:hint="eastAsia" w:ascii="宋体" w:hAnsi="宋体"/>
                <w:szCs w:val="21"/>
                <w:highlight w:val="none"/>
              </w:rPr>
              <w:t>6</w:t>
            </w:r>
          </w:p>
        </w:tc>
      </w:tr>
      <w:tr w14:paraId="463B4DFF">
        <w:tblPrEx>
          <w:tblCellMar>
            <w:top w:w="0" w:type="dxa"/>
            <w:left w:w="108" w:type="dxa"/>
            <w:bottom w:w="0" w:type="dxa"/>
            <w:right w:w="108" w:type="dxa"/>
          </w:tblCellMar>
        </w:tblPrEx>
        <w:trPr>
          <w:trHeight w:val="172" w:hRule="atLeast"/>
          <w:jc w:val="center"/>
        </w:trPr>
        <w:tc>
          <w:tcPr>
            <w:tcW w:w="8824" w:type="dxa"/>
            <w:gridSpan w:val="3"/>
            <w:tcBorders>
              <w:top w:val="nil"/>
              <w:left w:val="single" w:color="auto" w:sz="4" w:space="0"/>
              <w:bottom w:val="single" w:color="auto" w:sz="4" w:space="0"/>
              <w:right w:val="single" w:color="auto" w:sz="4" w:space="0"/>
            </w:tcBorders>
            <w:noWrap w:val="0"/>
            <w:vAlign w:val="center"/>
          </w:tcPr>
          <w:p w14:paraId="6A7F8888">
            <w:pPr>
              <w:widowControl/>
              <w:spacing w:line="560" w:lineRule="exact"/>
              <w:jc w:val="center"/>
              <w:rPr>
                <w:rFonts w:hint="eastAsia" w:ascii="宋体" w:hAnsi="宋体"/>
                <w:szCs w:val="21"/>
                <w:highlight w:val="none"/>
              </w:rPr>
            </w:pPr>
            <w:r>
              <w:rPr>
                <w:rFonts w:hint="eastAsia" w:ascii="宋体" w:hAnsi="宋体"/>
                <w:szCs w:val="21"/>
                <w:highlight w:val="none"/>
              </w:rPr>
              <w:t>合计：</w:t>
            </w:r>
          </w:p>
        </w:tc>
        <w:tc>
          <w:tcPr>
            <w:tcW w:w="761" w:type="dxa"/>
            <w:tcBorders>
              <w:top w:val="nil"/>
              <w:left w:val="nil"/>
              <w:bottom w:val="single" w:color="auto" w:sz="4" w:space="0"/>
              <w:right w:val="single" w:color="auto" w:sz="4" w:space="0"/>
            </w:tcBorders>
            <w:noWrap w:val="0"/>
            <w:vAlign w:val="center"/>
          </w:tcPr>
          <w:p w14:paraId="05BFB560">
            <w:pPr>
              <w:widowControl/>
              <w:spacing w:line="560" w:lineRule="exact"/>
              <w:jc w:val="center"/>
              <w:rPr>
                <w:rFonts w:hint="eastAsia" w:ascii="宋体" w:hAnsi="宋体"/>
                <w:szCs w:val="21"/>
                <w:highlight w:val="none"/>
              </w:rPr>
            </w:pPr>
            <w:r>
              <w:rPr>
                <w:rFonts w:hint="eastAsia" w:ascii="宋体" w:hAnsi="宋体"/>
                <w:szCs w:val="21"/>
                <w:highlight w:val="none"/>
              </w:rPr>
              <w:t>100</w:t>
            </w:r>
          </w:p>
        </w:tc>
      </w:tr>
    </w:tbl>
    <w:p w14:paraId="09A0334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40" w:lineRule="exact"/>
        <w:ind w:firstLine="5292" w:firstLineChars="1400"/>
        <w:jc w:val="left"/>
        <w:textAlignment w:val="baseline"/>
        <w:rPr>
          <w:rFonts w:hint="default" w:ascii="Times New Roman" w:hAnsi="Times New Roman" w:eastAsia="方正仿宋_GBK" w:cs="Times New Roman"/>
          <w:spacing w:val="29"/>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5D880A"/>
    <w:multiLevelType w:val="singleLevel"/>
    <w:tmpl w:val="B95D880A"/>
    <w:lvl w:ilvl="0" w:tentative="0">
      <w:start w:val="3"/>
      <w:numFmt w:val="decimal"/>
      <w:suff w:val="nothing"/>
      <w:lvlText w:val="（%1）"/>
      <w:lvlJc w:val="left"/>
    </w:lvl>
  </w:abstractNum>
  <w:abstractNum w:abstractNumId="1">
    <w:nsid w:val="C0470185"/>
    <w:multiLevelType w:val="singleLevel"/>
    <w:tmpl w:val="C0470185"/>
    <w:lvl w:ilvl="0" w:tentative="0">
      <w:start w:val="4"/>
      <w:numFmt w:val="chineseCounting"/>
      <w:suff w:val="nothing"/>
      <w:lvlText w:val="%1、"/>
      <w:lvlJc w:val="left"/>
      <w:rPr>
        <w:rFonts w:hint="eastAsia"/>
      </w:rPr>
    </w:lvl>
  </w:abstractNum>
  <w:abstractNum w:abstractNumId="2">
    <w:nsid w:val="27AD3EAE"/>
    <w:multiLevelType w:val="singleLevel"/>
    <w:tmpl w:val="27AD3EAE"/>
    <w:lvl w:ilvl="0" w:tentative="0">
      <w:start w:val="1"/>
      <w:numFmt w:val="decimal"/>
      <w:suff w:val="nothing"/>
      <w:lvlText w:val="（%1）"/>
      <w:lvlJc w:val="left"/>
    </w:lvl>
  </w:abstractNum>
  <w:abstractNum w:abstractNumId="3">
    <w:nsid w:val="784DB254"/>
    <w:multiLevelType w:val="singleLevel"/>
    <w:tmpl w:val="784DB254"/>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374B80"/>
    <w:rsid w:val="00BA5255"/>
    <w:rsid w:val="012670EA"/>
    <w:rsid w:val="015C0A67"/>
    <w:rsid w:val="01FA01CD"/>
    <w:rsid w:val="03092820"/>
    <w:rsid w:val="0B567033"/>
    <w:rsid w:val="0CFA3905"/>
    <w:rsid w:val="0E61002D"/>
    <w:rsid w:val="13935DDD"/>
    <w:rsid w:val="14290F74"/>
    <w:rsid w:val="219001EE"/>
    <w:rsid w:val="21F77FBB"/>
    <w:rsid w:val="24242425"/>
    <w:rsid w:val="25C07E4F"/>
    <w:rsid w:val="2732482B"/>
    <w:rsid w:val="2ABA2773"/>
    <w:rsid w:val="2C6B7F24"/>
    <w:rsid w:val="2FD934AD"/>
    <w:rsid w:val="32230959"/>
    <w:rsid w:val="36C601E5"/>
    <w:rsid w:val="39783C80"/>
    <w:rsid w:val="39D30D96"/>
    <w:rsid w:val="3B3C17F2"/>
    <w:rsid w:val="3EDA463A"/>
    <w:rsid w:val="44553399"/>
    <w:rsid w:val="474C5A27"/>
    <w:rsid w:val="4A9A1CA8"/>
    <w:rsid w:val="4AE26EC6"/>
    <w:rsid w:val="4C4C6FD2"/>
    <w:rsid w:val="51BF443D"/>
    <w:rsid w:val="51DC4954"/>
    <w:rsid w:val="5492722C"/>
    <w:rsid w:val="5AD36B10"/>
    <w:rsid w:val="5CBE5559"/>
    <w:rsid w:val="5CDD3C76"/>
    <w:rsid w:val="5F4B4EC7"/>
    <w:rsid w:val="60BF3DBF"/>
    <w:rsid w:val="65374B80"/>
    <w:rsid w:val="65C61B05"/>
    <w:rsid w:val="67907381"/>
    <w:rsid w:val="694971F3"/>
    <w:rsid w:val="6F6D2EDC"/>
    <w:rsid w:val="7D513B99"/>
    <w:rsid w:val="7DF22173"/>
    <w:rsid w:val="7ED22AB7"/>
    <w:rsid w:val="7F637BB3"/>
    <w:rsid w:val="7F8A51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keepNext/>
      <w:tabs>
        <w:tab w:val="left" w:pos="1440"/>
        <w:tab w:val="left" w:pos="5670"/>
      </w:tabs>
      <w:spacing w:before="290" w:beforeLines="100" w:after="290" w:afterLines="100"/>
      <w:ind w:firstLine="2890" w:firstLineChars="1203"/>
      <w:outlineLvl w:val="0"/>
    </w:pPr>
    <w:rPr>
      <w:rFonts w:ascii="黑体" w:eastAsia="黑体"/>
      <w:b/>
      <w:kern w:val="44"/>
      <w:sz w:val="24"/>
      <w:szCs w:val="28"/>
    </w:rPr>
  </w:style>
  <w:style w:type="paragraph" w:styleId="4">
    <w:name w:val="heading 2"/>
    <w:basedOn w:val="1"/>
    <w:next w:val="1"/>
    <w:qFormat/>
    <w:uiPriority w:val="99"/>
    <w:pPr>
      <w:keepNext/>
      <w:keepLines/>
      <w:spacing w:before="120" w:after="120"/>
      <w:jc w:val="left"/>
      <w:outlineLvl w:val="1"/>
    </w:pPr>
    <w:rPr>
      <w:rFonts w:ascii="宋体" w:hAnsi="宋体"/>
      <w:b/>
      <w:szCs w:val="2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firstLineChars="200"/>
      <w:jc w:val="left"/>
    </w:pPr>
    <w:rPr>
      <w:rFonts w:ascii="宋体" w:hAnsi="宋体"/>
      <w:sz w:val="24"/>
    </w:rPr>
  </w:style>
  <w:style w:type="paragraph" w:styleId="5">
    <w:name w:val="annotation text"/>
    <w:basedOn w:val="1"/>
    <w:qFormat/>
    <w:uiPriority w:val="0"/>
    <w:pPr>
      <w:jc w:val="left"/>
    </w:pPr>
  </w:style>
  <w:style w:type="paragraph" w:styleId="6">
    <w:name w:val="Body Text"/>
    <w:basedOn w:val="1"/>
    <w:semiHidden/>
    <w:qFormat/>
    <w:uiPriority w:val="0"/>
    <w:rPr>
      <w:rFonts w:ascii="仿宋" w:hAnsi="仿宋" w:eastAsia="仿宋" w:cs="仿宋"/>
      <w:sz w:val="29"/>
      <w:szCs w:val="29"/>
      <w:lang w:val="en-US" w:eastAsia="en-US" w:bidi="ar-SA"/>
    </w:rPr>
  </w:style>
  <w:style w:type="paragraph" w:customStyle="1" w:styleId="9">
    <w:name w:val="段"/>
    <w:next w:val="10"/>
    <w:autoRedefine/>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customStyle="1" w:styleId="10">
    <w:name w:val="正文 A"/>
    <w:next w:val="9"/>
    <w:autoRedefine/>
    <w:qFormat/>
    <w:uiPriority w:val="0"/>
    <w:pPr>
      <w:widowControl w:val="0"/>
      <w:jc w:val="both"/>
    </w:pPr>
    <w:rPr>
      <w:rFonts w:ascii="Arial Unicode MS" w:hAnsi="Arial Unicode MS" w:eastAsia="Times New Roman"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docProps/app.xml><?xml version="1.0" encoding="utf-8"?>
<Properties xmlns="http://schemas.openxmlformats.org/officeDocument/2006/extended-properties" xmlns:vt="http://schemas.openxmlformats.org/officeDocument/2006/docPropsVTypes">
  <Template>Normal.dotm</Template>
  <Pages>10</Pages>
  <Words>3308</Words>
  <Characters>3418</Characters>
  <Lines>0</Lines>
  <Paragraphs>0</Paragraphs>
  <TotalTime>222</TotalTime>
  <ScaleCrop>false</ScaleCrop>
  <LinksUpToDate>false</LinksUpToDate>
  <CharactersWithSpaces>3666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2025-03-19T02:30:00Z</dcterms:created>
  <dc:creator>Tiffany汪</dc:creator>
  <cp:lastModifiedBy>KinKai</cp:lastModifiedBy>
  <cp:lastPrinted>2025-03-24T02:06:00Z</cp:lastPrinted>
  <dcterms:modified xsi:type="dcterms:W3CDTF">2025-08-25T07:08:34Z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21DC7503C599490D8EDB911CC8A033F6_13</vt:lpwstr>
  </property>
  <property fmtid="{D5CDD505-2E9C-101B-9397-08002B2CF9AE}" pid="4" name="KSOTemplateDocerSaveRecord">
    <vt:lpwstr>eyJoZGlkIjoiYjg1YjA2YTYxODZhYjNlOWI1NTFlZTAxNGJmNmEwNDgiLCJ1c2VySWQiOiI0MzQ4NTY1NzgifQ==</vt:lpwstr>
  </property>
</Properties>
</file>