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</w:pPr>
      <w:bookmarkStart w:id="0" w:name="_Toc26464"/>
      <w:bookmarkStart w:id="1" w:name="OLE_LINK3"/>
      <w:r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  <w:t>202</w:t>
      </w:r>
      <w:r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  <w:t>年秦淮区国民经济和社会发展统计公报</w:t>
      </w:r>
      <w:bookmarkEnd w:id="0"/>
    </w:p>
    <w:bookmarkEnd w:id="1"/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yellow"/>
          <w:lang w:val="en-US" w:eastAsia="zh-CN"/>
        </w:rPr>
      </w:pP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val="en-US" w:eastAsia="zh-CN"/>
        </w:rPr>
        <w:t>2025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年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eastAsia="zh-CN"/>
        </w:rPr>
        <w:t>，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全区上下坚持以习近平新时代中国特色社会主义思想为指导，全面贯彻落实党的二十大和二十届历次全会精神，深入学习习近平总书记对江苏工作重要讲话重要指示精神，坚持稳中求进工作总基调，全面贯彻新发展理念，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FFFFFF"/>
        </w:rPr>
        <w:t>围绕推动高质量发展首要任务，迎难而上、砥砺前行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eastAsia="zh-CN"/>
        </w:rPr>
        <w:t>。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全区经济保持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val="en-US" w:eastAsia="zh-CN"/>
        </w:rPr>
        <w:t>稳步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向好态势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eastAsia="zh-CN"/>
        </w:rPr>
        <w:t>，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产业动能加速转换，城市更新纵深推进，</w:t>
      </w:r>
      <w:bookmarkStart w:id="2" w:name="OLE_LINK4"/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民生福祉可感可及</w:t>
      </w:r>
      <w:bookmarkEnd w:id="2"/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。</w:t>
      </w:r>
    </w:p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综合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经济总量稳步增长。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初步核算，202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年，全年实现地区生产总值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1616.41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亿元，按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不变价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计算，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同比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增长5.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%。分产业看，第二产业增加值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95.07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7.8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%；第三产业增加值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1521.34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亿元，增长5.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市场主体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  <w:lang w:val="en-US" w:eastAsia="zh-CN"/>
        </w:rPr>
        <w:t>结构稳定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。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</w:rPr>
        <w:t>2025年</w:t>
      </w:r>
      <w:bookmarkStart w:id="3" w:name="OLE_LINK2"/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</w:rPr>
        <w:t>全年经工商登记新设立市场主体16139户，其中新设立企业6182户，新设立个体经营户9957户。年末市场主体累计180171户，其中企业 86517户，个体经营户93654户。</w:t>
      </w:r>
      <w:bookmarkEnd w:id="3"/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 xml:space="preserve"> 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就业创业保障增强。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年城镇新增就业2.78万人（不含自然减员数）、城镇失业人员就业8590人、援助困难人员就业1327人，培育自主创业3147人。开展补贴性职业技能培训7091人次、开展学徒制培训39人、开发高质量就业见习岗位数3050个。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bookmarkStart w:id="4" w:name="OLE_LINK1"/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财政收支不断优化。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全区财政总收入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223.41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亿元，一般公共预算收入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119.5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亿元，比上年增长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%，其中税收收入104.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  <w:bookmarkStart w:id="5" w:name="OLE_LINK5"/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一般公共预算支出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90.5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增长2.8%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。其中，社会保障和就业支出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26.0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增长27.9%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；教育支出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23.3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下降14.8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%；卫生健康支出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5.2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增长5.7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%；科学技术支出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增长14.1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%；农林水支出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0.03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亿元，下降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91.1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  <w:bookmarkEnd w:id="5"/>
    </w:p>
    <w:bookmarkEnd w:id="4"/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工业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工业生产稳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  <w:lang w:val="en-US" w:eastAsia="zh-CN"/>
        </w:rPr>
        <w:t>定增长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全区实现规模以上工业总产值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195.38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eastAsia="zh-CN"/>
        </w:rPr>
        <w:t>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增长6.8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%。规模以上工业企业实现利税总额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20.04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增长28.3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%，利润总额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14.87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增长14.8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固定资产投资和房地产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固定资产投资增长稳定。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全区固定资产投资同比增长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%。全年固定资产投资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</w:rPr>
        <w:t>项目共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  <w:lang w:val="en-US" w:eastAsia="zh-CN"/>
        </w:rPr>
        <w:t>181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</w:rPr>
        <w:t>个，其中固定资产项目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  <w:lang w:val="en-US" w:eastAsia="zh-CN"/>
        </w:rPr>
        <w:t>133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</w:rPr>
        <w:t>个，房地产项目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  <w:lang w:val="en-US" w:eastAsia="zh-CN"/>
        </w:rPr>
        <w:t>48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</w:rPr>
        <w:t>个。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房地产市场延续调整态势。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202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年全年完成房地产开发投资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319.9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亿元，同比增长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4.7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%。全年商品房销售面积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55.32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万平方米，同比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下降15.6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%，其中住宅销售面积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43.00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万平方米，同比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下降29.3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国内贸易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b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  <w:lang w:val="en-US" w:eastAsia="zh-CN"/>
        </w:rPr>
        <w:t>商贸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市场承压增长。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全区实现全社会消费品零售总额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1047.7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%。其中限上零售额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865.5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%。全区贸易业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限额以上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销售额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3304.1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%，其中批发业销售额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2428.7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5.4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%，零售业销售额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729.3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7.1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%，住宿业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营业额15.5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下降3.4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%，餐饮业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营业额130.5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下降3.5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开放型经济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b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对外贸易稳中趋降。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完成外贸进出口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773.2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增长1.8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%，其中进口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314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亿元，同比增长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4.8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%；出口4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59.2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亿元，同比下降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0.1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%。全区实际利用外资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8378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万美元，同比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下降12.1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%。全年吸收外商直接投资新设立企业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21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家，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新增合同外资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13500万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美元。</w:t>
      </w:r>
    </w:p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科学技术和教育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b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创新主体培育稳步发展。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全年共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1370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家企业通过科技型中小企业评价，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家企业通过高新技术企业认定。新型研发机构累计孵化引进企业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195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家，全年营收突破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家企业入选省产研学合作项目。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color w:val="FF0000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教育事业稳步推进。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全区现有普通高中5所、初中13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所（含中华初中部、一中初中部）、小学3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9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所（含2所特殊教育学校）、幼儿园6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所（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78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个办学点）、高等职业学校1所，教师发展中心1所、少年宫（少年儿童校外活动基地）1所、开放大学1所。新增全国先进工作者1人、江苏省教学名师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人、江苏省教育家型校长培育计划人选1人、正高级教师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人、南京市劳模2人、南京市教学名师6人、南京市名师工作室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个、南京市德育名师工作室2个、南京市学科教学带头人40人、南京市优秀青年教师培养对象3人。全区学前教育普惠率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92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.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18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%，省市优质园幼儿占比97.0%。</w:t>
      </w:r>
    </w:p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七、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文旅、卫生和体育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文化旅游服务水平提升。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</w:rPr>
        <w:t>全区共有市级以上文化产业园区13家，其中国家级1家，省级2家，市级12家。全区共有文化馆1个，公共图书馆1个，博物馆12个，国家级保护单位12个，省级保护单位30个，市级保护单位53个。全区达到省级标准的社区综合性文化服务中心105个。全年开展线下文化活动2000余场，服务人次逾30万人。全区实现文旅消费总收入达925亿元，同比增长11.5%。游客量突破9000万人次。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卫生事业稳步推进。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全区现有区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属医疗卫生单位16家，其中现有二级医院2家、社区卫生服务中心12家、公共卫生单位2家；全区各类卫生机构拥有病床11994张，其中医院拥有病床10311张。共有卫生技术人员19651人，其中执业医师、执业助理医师7868人，注册护士8803人，疾病预防控制中心卫生技术人员97人，妇幼卫生保健机构卫生技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术人员2164人（含市妇幼2117人）。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  <w:shd w:val="clear"/>
        </w:rPr>
        <w:t>体育事业协调发展。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  <w:shd w:val="clear"/>
        </w:rPr>
        <w:t>2025年三支市队区办项目队参加省级锦标赛、冠军赛获9金、11银、6铜；参加国家级比赛获5金3银2铜好成绩。秦淮区输送队运动员黄雨薇获得2025年射箭世界杯（美国站）团体冠军，射箭、游泳、排球、篮球等体育示范学校体育后备人才选拔招生56名。向市队输送体育人才46名，一等25人、二等7人、三等9人，列全市第一。承办2025年中国街舞大赛（南京站）、世界华人狮王争霸赛、2025年世界斯诺克巡回赛国际锦标赛等国家级赛事。</w:t>
      </w:r>
    </w:p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八、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环境保护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环境质量持续向好。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我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区PM2.5浓度27.5ug/m³、优良率86.3%。PM2.5浓度从2020年35.8微克/立方米降至27.5微克/立方米，降幅23.1%，连续五年完成市下达的考核目标，全市唯一；空气质量优良率从81.4%提升至86.3%，上升4.9个百分点；2025年空气质量全指标达标，PM2.5浓度和空气质量优良率两项考核指标创历史最优。国考七桥瓮断面水质达到地表水Ⅲ类的考核目标；市考以上重点断面连续5年实现达标率100%，区域水环境质量整体稳中向好。声环境质量保持稳定（区域环境噪声昼间均值52.5分贝）。</w:t>
      </w:r>
    </w:p>
    <w:p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九、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人口、人民生活和社会保障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人口结构优化。</w:t>
      </w:r>
      <w:bookmarkStart w:id="6" w:name="OLE_LINK6"/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年末全区户籍人口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66.76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万人，总户数26.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59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万户。按性别分：男性32.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万人，女性34.5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万人。男女性别比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93.31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：100（女性为100）。按年龄结构分，0-17岁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8.53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万人，18-34岁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8.92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万人，35-59岁25.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万人，60岁以上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24.05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万人。全年出生0.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万人，出生率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3.95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‰，死亡0.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万人，死亡率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8.30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‰，自然增长率为-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4.35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‰。</w:t>
      </w:r>
    </w:p>
    <w:bookmarkEnd w:id="6"/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居民收支平稳增长。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全体居民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人均可支配收入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87879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元，同比增长4.1%。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全体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居民人均消费支出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51023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元，同比增长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3.6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color w:val="FF0000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社会保障日臻健全</w:t>
      </w:r>
      <w:r>
        <w:rPr>
          <w:rFonts w:hint="eastAsia" w:ascii="Times New Roman" w:hAnsi="Times New Roman" w:eastAsiaTheme="minorEastAsia" w:cstheme="minorEastAsia"/>
          <w:b/>
          <w:bCs/>
          <w:sz w:val="20"/>
          <w:szCs w:val="20"/>
          <w:highlight w:val="none"/>
        </w:rPr>
        <w:t>。</w:t>
      </w:r>
      <w:r>
        <w:rPr>
          <w:rFonts w:hint="eastAsia" w:ascii="Times New Roman" w:hAnsi="Times New Roman" w:eastAsiaTheme="minorEastAsia" w:cstheme="minorEastAsia"/>
          <w:b w:val="0"/>
          <w:bCs w:val="0"/>
          <w:sz w:val="20"/>
          <w:szCs w:val="20"/>
          <w:highlight w:val="none"/>
        </w:rPr>
        <w:t>年末参加企业职工基本养老保险人数37.48万人，参加城镇职工基本医疗保险人数34.7万人，参加失业保险人数31.47万人，参加工伤保险人数36.17万人，参加生育保险人数29.08万人。劳动保障监察举报投诉案件结案率100%，劳动人事争议仲裁结案率100%。</w:t>
      </w:r>
    </w:p>
    <w:p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color w:val="FF0000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政务服务更加完善。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全年办理审批和其他行政权力事项5.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  <w:t>2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万余件；整合5个部门9个事项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，推行“企业迁移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一件事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”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，办理时间压缩超80%，实现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“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一网办结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”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，完成全省首例市内迁移登记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；店招备案推行线上申请、视频勘验“掌上办”；医师（护士）执业注册全程电子化、无纸化；建立跨部门信用数据共享机制，开设信用绿色通道，设立信用修复宣传点，全年办理“一件事”登记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  <w:t>13076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件；以“企业秘书”服务世界500强企业当场设立登记，组建专班助力9个超4亿元信息化项目备案，“前置介入+现场办公”模式实现华东首家金陵长乐坊等项目1天领施工许可证；与10省24市（县、区）签约，220个事项实现“异地通办”，配置“云综窗”远程终端提供跨域帮办代办服务。</w:t>
      </w: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ascii="Times New Roman" w:hAnsi="Times New Roman" w:eastAsiaTheme="minorEastAsia" w:cstheme="minorEastAsia"/>
          <w:color w:val="FF0000"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注：</w:t>
      </w: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[1]本公报使用的数据为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初步统计数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。</w:t>
      </w: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yellow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[2]地区生产总值、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三次产业增加值及行业增加值、人均地区生产总值绝对数按现价计算，增长速度按不变价格计算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。</w:t>
      </w: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[3]部分数据因四舍五入问题，存在总计与分项合计不等的情况。</w:t>
      </w: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[4]部分指标数据因统计口径调整，较上年不具可比性。</w:t>
      </w: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资料来源：</w:t>
      </w:r>
    </w:p>
    <w:p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hint="default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本公报中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</w:rPr>
        <w:t>工商登记市场主体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  <w:lang w:eastAsia="zh-CN"/>
        </w:rPr>
        <w:t>、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  <w:lang w:val="en-US" w:eastAsia="zh-CN"/>
        </w:rPr>
        <w:t>行政审批等数据来自区数据局；个体经营户、专利授权量等数据来自区市场监管局；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城镇新增就业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eastAsia="zh-CN"/>
        </w:rPr>
        <w:t>、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基本养老保险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  <w:lang w:val="en-US" w:eastAsia="zh-CN"/>
        </w:rPr>
        <w:t>等数据来自区人社局；财政收支等数据来自区财政局；外贸进出口等数据来自区商务局；高新技术企业等数</w:t>
      </w:r>
      <w:bookmarkStart w:id="7" w:name="_GoBack"/>
      <w:bookmarkEnd w:id="7"/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  <w:lang w:val="en-US" w:eastAsia="zh-CN"/>
        </w:rPr>
        <w:t>据来自区科技局；普通高等学校等数据来自区教育局；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</w:rPr>
        <w:t>文旅消费总收入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  <w:lang w:eastAsia="zh-CN"/>
        </w:rPr>
        <w:t>、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  <w:lang w:val="en-US" w:eastAsia="zh-CN"/>
        </w:rPr>
        <w:t>体育赛事奖牌等数据来自区文旅局；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卫生机构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等数据来自区卫健委；环境监测等数据来自区生态环境局；户籍人口等数据来自公安分局；其他数据均来自区统计局。</w:t>
      </w: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p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sectPr>
      <w:footerReference r:id="rId3" w:type="default"/>
      <w:pgSz w:w="6803" w:h="11905"/>
      <w:pgMar w:top="1417" w:right="850" w:bottom="1134" w:left="850" w:header="851" w:footer="850" w:gutter="0"/>
      <w:pgNumType w:start="1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A94587F-E670-4CF0-9423-CCF85DB2B3B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8622C6F-9328-464B-8883-9197EAA85D1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2BC5239C-86FF-4A64-A424-97EEF6E40A9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F002FFE-1506-4B6F-A7C5-5C13C9A727B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F508FA08-2A59-435D-A353-9B463711ACB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D8C4B983-5D3C-41A1-864F-58B5A94CF4B5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9C7902A7-8240-484E-98EC-FC6ECAF39A8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B0DD896F-FFDF-4969-82BF-6D3CA74D9A3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hint="eastAsia" w:ascii="宋体" w:hAnsi="宋体" w:cs="宋体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lYmE4N2FkYzczYmJkYmYzMzU5ODdjYTQ2NTJhMzkifQ=="/>
  </w:docVars>
  <w:rsids>
    <w:rsidRoot w:val="00DF2E11"/>
    <w:rsid w:val="00001247"/>
    <w:rsid w:val="0001254B"/>
    <w:rsid w:val="000154D9"/>
    <w:rsid w:val="00017AF6"/>
    <w:rsid w:val="000275DC"/>
    <w:rsid w:val="00031E1D"/>
    <w:rsid w:val="00035AB3"/>
    <w:rsid w:val="000444E3"/>
    <w:rsid w:val="0004673C"/>
    <w:rsid w:val="00064047"/>
    <w:rsid w:val="000648FC"/>
    <w:rsid w:val="00075F21"/>
    <w:rsid w:val="00076BC7"/>
    <w:rsid w:val="00086162"/>
    <w:rsid w:val="0009327D"/>
    <w:rsid w:val="000A1880"/>
    <w:rsid w:val="000D5DC0"/>
    <w:rsid w:val="000D71D8"/>
    <w:rsid w:val="001263D6"/>
    <w:rsid w:val="00130294"/>
    <w:rsid w:val="00132216"/>
    <w:rsid w:val="00152F2E"/>
    <w:rsid w:val="00156284"/>
    <w:rsid w:val="0018146E"/>
    <w:rsid w:val="001937DC"/>
    <w:rsid w:val="001B1040"/>
    <w:rsid w:val="001B6E8D"/>
    <w:rsid w:val="001C7D52"/>
    <w:rsid w:val="001E4FAC"/>
    <w:rsid w:val="00210AAF"/>
    <w:rsid w:val="002226B4"/>
    <w:rsid w:val="0022396F"/>
    <w:rsid w:val="00223CF3"/>
    <w:rsid w:val="00227103"/>
    <w:rsid w:val="002307FB"/>
    <w:rsid w:val="002377F5"/>
    <w:rsid w:val="00244C84"/>
    <w:rsid w:val="002660BE"/>
    <w:rsid w:val="002740DC"/>
    <w:rsid w:val="00275D93"/>
    <w:rsid w:val="002838A0"/>
    <w:rsid w:val="00284DA0"/>
    <w:rsid w:val="00295643"/>
    <w:rsid w:val="002A3E3D"/>
    <w:rsid w:val="002C2351"/>
    <w:rsid w:val="002C378A"/>
    <w:rsid w:val="002C5F89"/>
    <w:rsid w:val="002D1D88"/>
    <w:rsid w:val="002E447A"/>
    <w:rsid w:val="002E62B2"/>
    <w:rsid w:val="00300457"/>
    <w:rsid w:val="00302799"/>
    <w:rsid w:val="0030664B"/>
    <w:rsid w:val="00312EC3"/>
    <w:rsid w:val="00313362"/>
    <w:rsid w:val="0031395D"/>
    <w:rsid w:val="00323FEC"/>
    <w:rsid w:val="003421FE"/>
    <w:rsid w:val="003560E8"/>
    <w:rsid w:val="00375706"/>
    <w:rsid w:val="00396807"/>
    <w:rsid w:val="003A5513"/>
    <w:rsid w:val="003A7C69"/>
    <w:rsid w:val="003C4B55"/>
    <w:rsid w:val="003E09C5"/>
    <w:rsid w:val="003E31E6"/>
    <w:rsid w:val="003E4D2D"/>
    <w:rsid w:val="0040387D"/>
    <w:rsid w:val="00411D71"/>
    <w:rsid w:val="00415230"/>
    <w:rsid w:val="00435AD8"/>
    <w:rsid w:val="00476380"/>
    <w:rsid w:val="004B7D63"/>
    <w:rsid w:val="004C1055"/>
    <w:rsid w:val="004E0B99"/>
    <w:rsid w:val="004F2EDA"/>
    <w:rsid w:val="004F4440"/>
    <w:rsid w:val="00512B79"/>
    <w:rsid w:val="00517D07"/>
    <w:rsid w:val="00527BD9"/>
    <w:rsid w:val="00574065"/>
    <w:rsid w:val="00587EB1"/>
    <w:rsid w:val="00595AD4"/>
    <w:rsid w:val="005A5188"/>
    <w:rsid w:val="005A7619"/>
    <w:rsid w:val="005C4FBC"/>
    <w:rsid w:val="00600030"/>
    <w:rsid w:val="00616A24"/>
    <w:rsid w:val="0061723C"/>
    <w:rsid w:val="00635D72"/>
    <w:rsid w:val="00640269"/>
    <w:rsid w:val="00646CC4"/>
    <w:rsid w:val="006555B1"/>
    <w:rsid w:val="00656942"/>
    <w:rsid w:val="00660BEF"/>
    <w:rsid w:val="00671605"/>
    <w:rsid w:val="0068582F"/>
    <w:rsid w:val="00685E6B"/>
    <w:rsid w:val="00690205"/>
    <w:rsid w:val="006C69FB"/>
    <w:rsid w:val="006D0559"/>
    <w:rsid w:val="006D29DC"/>
    <w:rsid w:val="006D7281"/>
    <w:rsid w:val="006E1E22"/>
    <w:rsid w:val="006F286D"/>
    <w:rsid w:val="006F5CB0"/>
    <w:rsid w:val="00704FEC"/>
    <w:rsid w:val="00745C98"/>
    <w:rsid w:val="00777CBE"/>
    <w:rsid w:val="00787EC9"/>
    <w:rsid w:val="007A6080"/>
    <w:rsid w:val="007A6D68"/>
    <w:rsid w:val="007B2DE0"/>
    <w:rsid w:val="007B3CF8"/>
    <w:rsid w:val="007B591C"/>
    <w:rsid w:val="007C6D92"/>
    <w:rsid w:val="00801369"/>
    <w:rsid w:val="00810357"/>
    <w:rsid w:val="00811B71"/>
    <w:rsid w:val="00820643"/>
    <w:rsid w:val="0083494A"/>
    <w:rsid w:val="008424C0"/>
    <w:rsid w:val="00850ADF"/>
    <w:rsid w:val="00851FEB"/>
    <w:rsid w:val="0085301F"/>
    <w:rsid w:val="00860AD1"/>
    <w:rsid w:val="00867F15"/>
    <w:rsid w:val="00874F01"/>
    <w:rsid w:val="00882F6F"/>
    <w:rsid w:val="00883D0F"/>
    <w:rsid w:val="00886A9F"/>
    <w:rsid w:val="00894A7F"/>
    <w:rsid w:val="008A1E10"/>
    <w:rsid w:val="008A3005"/>
    <w:rsid w:val="008B2891"/>
    <w:rsid w:val="008C53BA"/>
    <w:rsid w:val="00904BCC"/>
    <w:rsid w:val="00916020"/>
    <w:rsid w:val="00920CD4"/>
    <w:rsid w:val="00932355"/>
    <w:rsid w:val="00941ACE"/>
    <w:rsid w:val="00946547"/>
    <w:rsid w:val="00974F6F"/>
    <w:rsid w:val="00982A91"/>
    <w:rsid w:val="00984E78"/>
    <w:rsid w:val="00992A45"/>
    <w:rsid w:val="009B58B7"/>
    <w:rsid w:val="009C46DE"/>
    <w:rsid w:val="009D151A"/>
    <w:rsid w:val="009E0EB7"/>
    <w:rsid w:val="00A15E88"/>
    <w:rsid w:val="00A16B53"/>
    <w:rsid w:val="00A5284B"/>
    <w:rsid w:val="00A53192"/>
    <w:rsid w:val="00A6270F"/>
    <w:rsid w:val="00A8083D"/>
    <w:rsid w:val="00A837E7"/>
    <w:rsid w:val="00A930DD"/>
    <w:rsid w:val="00A97751"/>
    <w:rsid w:val="00AC47E4"/>
    <w:rsid w:val="00AD295E"/>
    <w:rsid w:val="00AD7898"/>
    <w:rsid w:val="00B05460"/>
    <w:rsid w:val="00B411AD"/>
    <w:rsid w:val="00B41961"/>
    <w:rsid w:val="00B54E04"/>
    <w:rsid w:val="00B627B5"/>
    <w:rsid w:val="00B76CA9"/>
    <w:rsid w:val="00B82747"/>
    <w:rsid w:val="00B979F2"/>
    <w:rsid w:val="00BA35CA"/>
    <w:rsid w:val="00BB017F"/>
    <w:rsid w:val="00BB1DA6"/>
    <w:rsid w:val="00BB4CA5"/>
    <w:rsid w:val="00BB5847"/>
    <w:rsid w:val="00BF6727"/>
    <w:rsid w:val="00C057D8"/>
    <w:rsid w:val="00C11274"/>
    <w:rsid w:val="00C45FB3"/>
    <w:rsid w:val="00C56180"/>
    <w:rsid w:val="00C60DE5"/>
    <w:rsid w:val="00C92553"/>
    <w:rsid w:val="00CA22D4"/>
    <w:rsid w:val="00CB63FF"/>
    <w:rsid w:val="00CF00FA"/>
    <w:rsid w:val="00D4327D"/>
    <w:rsid w:val="00D46DFE"/>
    <w:rsid w:val="00D70CE7"/>
    <w:rsid w:val="00D720D4"/>
    <w:rsid w:val="00D82863"/>
    <w:rsid w:val="00D8314A"/>
    <w:rsid w:val="00D86C67"/>
    <w:rsid w:val="00D87B86"/>
    <w:rsid w:val="00D90C96"/>
    <w:rsid w:val="00D90EB1"/>
    <w:rsid w:val="00DA1D13"/>
    <w:rsid w:val="00DA3C9A"/>
    <w:rsid w:val="00DA5A3B"/>
    <w:rsid w:val="00DA7D78"/>
    <w:rsid w:val="00DB7E04"/>
    <w:rsid w:val="00DC0158"/>
    <w:rsid w:val="00DC6D3D"/>
    <w:rsid w:val="00DD5EEB"/>
    <w:rsid w:val="00DF17B7"/>
    <w:rsid w:val="00DF2E11"/>
    <w:rsid w:val="00E02634"/>
    <w:rsid w:val="00E07E48"/>
    <w:rsid w:val="00E1210F"/>
    <w:rsid w:val="00E210B6"/>
    <w:rsid w:val="00E27168"/>
    <w:rsid w:val="00E3786C"/>
    <w:rsid w:val="00E52211"/>
    <w:rsid w:val="00E612F7"/>
    <w:rsid w:val="00E71FF6"/>
    <w:rsid w:val="00E720B9"/>
    <w:rsid w:val="00E84DF9"/>
    <w:rsid w:val="00EB0E88"/>
    <w:rsid w:val="00ED41BC"/>
    <w:rsid w:val="00ED4902"/>
    <w:rsid w:val="00ED6891"/>
    <w:rsid w:val="00EE149E"/>
    <w:rsid w:val="00EF1742"/>
    <w:rsid w:val="00EF6CAF"/>
    <w:rsid w:val="00EF7885"/>
    <w:rsid w:val="00F012EA"/>
    <w:rsid w:val="00F02C51"/>
    <w:rsid w:val="00F13574"/>
    <w:rsid w:val="00F14661"/>
    <w:rsid w:val="00F2168B"/>
    <w:rsid w:val="00F220F5"/>
    <w:rsid w:val="00F42D1F"/>
    <w:rsid w:val="00F5711F"/>
    <w:rsid w:val="00F573E3"/>
    <w:rsid w:val="00F70D34"/>
    <w:rsid w:val="00F76A8D"/>
    <w:rsid w:val="00F83DB7"/>
    <w:rsid w:val="00FA1169"/>
    <w:rsid w:val="00FA1697"/>
    <w:rsid w:val="00FA5175"/>
    <w:rsid w:val="00FB054B"/>
    <w:rsid w:val="00FD38CA"/>
    <w:rsid w:val="00FE14FA"/>
    <w:rsid w:val="00FE1F93"/>
    <w:rsid w:val="00FE6D32"/>
    <w:rsid w:val="00FE6DEC"/>
    <w:rsid w:val="01D27009"/>
    <w:rsid w:val="02261695"/>
    <w:rsid w:val="026A2DC5"/>
    <w:rsid w:val="03861C60"/>
    <w:rsid w:val="048A5003"/>
    <w:rsid w:val="051B61E0"/>
    <w:rsid w:val="052D1065"/>
    <w:rsid w:val="063640D1"/>
    <w:rsid w:val="06407383"/>
    <w:rsid w:val="066F0F20"/>
    <w:rsid w:val="068B6FB2"/>
    <w:rsid w:val="06CC603E"/>
    <w:rsid w:val="091615E2"/>
    <w:rsid w:val="0D080870"/>
    <w:rsid w:val="0E9A6317"/>
    <w:rsid w:val="0FEA06DC"/>
    <w:rsid w:val="10E50428"/>
    <w:rsid w:val="127C4CC2"/>
    <w:rsid w:val="146337CE"/>
    <w:rsid w:val="14E37374"/>
    <w:rsid w:val="16125794"/>
    <w:rsid w:val="16BC2F3D"/>
    <w:rsid w:val="18CE3F9E"/>
    <w:rsid w:val="190743E6"/>
    <w:rsid w:val="1B156A10"/>
    <w:rsid w:val="1B3B6A24"/>
    <w:rsid w:val="1B481CDF"/>
    <w:rsid w:val="1B58131F"/>
    <w:rsid w:val="1B8F3DB2"/>
    <w:rsid w:val="1BCB46BE"/>
    <w:rsid w:val="1C272A2D"/>
    <w:rsid w:val="1CCD1E3D"/>
    <w:rsid w:val="1CDB5968"/>
    <w:rsid w:val="1D13223F"/>
    <w:rsid w:val="1D24677C"/>
    <w:rsid w:val="1D7F2BF3"/>
    <w:rsid w:val="1F061F30"/>
    <w:rsid w:val="206C0B11"/>
    <w:rsid w:val="22FF1E06"/>
    <w:rsid w:val="23F17B23"/>
    <w:rsid w:val="254A3609"/>
    <w:rsid w:val="2579170A"/>
    <w:rsid w:val="2755685C"/>
    <w:rsid w:val="27AF30E6"/>
    <w:rsid w:val="28126EEE"/>
    <w:rsid w:val="29755792"/>
    <w:rsid w:val="29F9107C"/>
    <w:rsid w:val="2BCF7CC2"/>
    <w:rsid w:val="2C6A2B59"/>
    <w:rsid w:val="2D194AFC"/>
    <w:rsid w:val="2D55729A"/>
    <w:rsid w:val="2D7326B8"/>
    <w:rsid w:val="2EBE223B"/>
    <w:rsid w:val="2ED06383"/>
    <w:rsid w:val="33753C6E"/>
    <w:rsid w:val="34225F03"/>
    <w:rsid w:val="366A3CE8"/>
    <w:rsid w:val="37791525"/>
    <w:rsid w:val="378B2626"/>
    <w:rsid w:val="397B3D3B"/>
    <w:rsid w:val="3A453DB6"/>
    <w:rsid w:val="3B8561E0"/>
    <w:rsid w:val="3B903A49"/>
    <w:rsid w:val="3BCB4B28"/>
    <w:rsid w:val="3C5A141B"/>
    <w:rsid w:val="3D715228"/>
    <w:rsid w:val="3E093E85"/>
    <w:rsid w:val="3E5E28E2"/>
    <w:rsid w:val="3F03339E"/>
    <w:rsid w:val="3FE91433"/>
    <w:rsid w:val="404D63DB"/>
    <w:rsid w:val="40606713"/>
    <w:rsid w:val="40DB1452"/>
    <w:rsid w:val="41737C8B"/>
    <w:rsid w:val="4199602C"/>
    <w:rsid w:val="424B4AFF"/>
    <w:rsid w:val="425B1E6E"/>
    <w:rsid w:val="44B126A5"/>
    <w:rsid w:val="46807EE0"/>
    <w:rsid w:val="489F6C99"/>
    <w:rsid w:val="48B3438D"/>
    <w:rsid w:val="4A670E61"/>
    <w:rsid w:val="4ABF238A"/>
    <w:rsid w:val="4B5522DC"/>
    <w:rsid w:val="4CEE1AA7"/>
    <w:rsid w:val="5262281B"/>
    <w:rsid w:val="526E6313"/>
    <w:rsid w:val="52800FE6"/>
    <w:rsid w:val="52AC4215"/>
    <w:rsid w:val="537A3705"/>
    <w:rsid w:val="54411272"/>
    <w:rsid w:val="548F2152"/>
    <w:rsid w:val="54EB72AE"/>
    <w:rsid w:val="558E71EB"/>
    <w:rsid w:val="55F372E2"/>
    <w:rsid w:val="568158BD"/>
    <w:rsid w:val="569E4219"/>
    <w:rsid w:val="56A9637A"/>
    <w:rsid w:val="571A1A7B"/>
    <w:rsid w:val="57BD306D"/>
    <w:rsid w:val="58575C01"/>
    <w:rsid w:val="59226B83"/>
    <w:rsid w:val="59AA59C5"/>
    <w:rsid w:val="5AEF54BF"/>
    <w:rsid w:val="5B3060BC"/>
    <w:rsid w:val="5BA76B47"/>
    <w:rsid w:val="5E316B07"/>
    <w:rsid w:val="60EE27F2"/>
    <w:rsid w:val="617A7850"/>
    <w:rsid w:val="63934A9D"/>
    <w:rsid w:val="64014CA8"/>
    <w:rsid w:val="65AB6F91"/>
    <w:rsid w:val="68E47C6B"/>
    <w:rsid w:val="692403DD"/>
    <w:rsid w:val="6AB2229E"/>
    <w:rsid w:val="6C1F6C8D"/>
    <w:rsid w:val="6D176D30"/>
    <w:rsid w:val="6F161326"/>
    <w:rsid w:val="6F790F01"/>
    <w:rsid w:val="6F8E17AF"/>
    <w:rsid w:val="6FA85912"/>
    <w:rsid w:val="6FBC61AE"/>
    <w:rsid w:val="72606407"/>
    <w:rsid w:val="72747633"/>
    <w:rsid w:val="728341B0"/>
    <w:rsid w:val="74101D88"/>
    <w:rsid w:val="764364A0"/>
    <w:rsid w:val="769F2649"/>
    <w:rsid w:val="771340C5"/>
    <w:rsid w:val="7797077F"/>
    <w:rsid w:val="77BD503B"/>
    <w:rsid w:val="77E7727B"/>
    <w:rsid w:val="784117EC"/>
    <w:rsid w:val="7A51414C"/>
    <w:rsid w:val="7A682739"/>
    <w:rsid w:val="7C395E31"/>
    <w:rsid w:val="7C4A6A3D"/>
    <w:rsid w:val="7CE87DA1"/>
    <w:rsid w:val="7D304D71"/>
    <w:rsid w:val="7F80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rPr>
      <w:rFonts w:ascii="Times New Roman" w:hAnsi="Times New Roman" w:cs="Times New Roman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semiHidden/>
    <w:unhideWhenUsed/>
    <w:qFormat/>
    <w:uiPriority w:val="39"/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unhideWhenUsed/>
    <w:qFormat/>
    <w:uiPriority w:val="99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1">
    <w:name w:val="Char Char Char Char"/>
    <w:basedOn w:val="1"/>
    <w:qFormat/>
    <w:uiPriority w:val="0"/>
    <w:rPr>
      <w:rFonts w:ascii="宋体" w:hAnsi="宋体" w:eastAsia="仿宋_GB2312" w:cs="Courier New"/>
      <w:sz w:val="32"/>
      <w:szCs w:val="32"/>
    </w:rPr>
  </w:style>
  <w:style w:type="paragraph" w:customStyle="1" w:styleId="1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列表段落1"/>
    <w:basedOn w:val="1"/>
    <w:qFormat/>
    <w:uiPriority w:val="0"/>
    <w:pPr>
      <w:ind w:firstLine="420" w:firstLineChars="200"/>
    </w:pPr>
    <w:rPr>
      <w:rFonts w:cs="Times New Roma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7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659</Words>
  <Characters>3757</Characters>
  <Lines>31</Lines>
  <Paragraphs>8</Paragraphs>
  <TotalTime>14</TotalTime>
  <ScaleCrop>false</ScaleCrop>
  <LinksUpToDate>false</LinksUpToDate>
  <CharactersWithSpaces>4408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2023-03-03T07:48:00Z</dcterms:created>
  <dc:creator>dreamsummit</dc:creator>
  <cp:lastModifiedBy>统计局收发员(tjjsfy)</cp:lastModifiedBy>
  <cp:lastPrinted>2026-02-27T09:19:00Z</cp:lastPrinted>
  <dcterms:modified xsi:type="dcterms:W3CDTF">2026-03-25T08:24:40Z</dcterms:modified>
  <dc:title>2020年秦淮区国民经济和社会发展统计公报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91B1FBEFB10E49328FD22753D7A2866E</vt:lpwstr>
  </property>
  <property fmtid="{D5CDD505-2E9C-101B-9397-08002B2CF9AE}" pid="4" name="KSOTemplateDocerSaveRecord">
    <vt:lpwstr>eyJoZGlkIjoiNjBjYzA1MDgxOGI5MGY5NzNhMmNmMGQzYzlkNDU2ZGMiLCJ1c2VySWQiOiIxMTU1MTMwNzQyIn0=</vt:lpwstr>
  </property>
</Properties>
</file>