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CC498F"/>
    <w:p w14:paraId="5DBBD7C4">
      <w:pPr>
        <w:spacing w:line="300" w:lineRule="auto"/>
        <w:jc w:val="center"/>
        <w:rPr>
          <w:rFonts w:eastAsia="方正小标宋_GBK"/>
          <w:spacing w:val="-10"/>
          <w:sz w:val="56"/>
          <w:szCs w:val="56"/>
        </w:rPr>
      </w:pPr>
    </w:p>
    <w:p w14:paraId="2DC0DCF3">
      <w:pPr>
        <w:spacing w:line="300" w:lineRule="auto"/>
        <w:jc w:val="center"/>
        <w:rPr>
          <w:rFonts w:eastAsia="方正小标宋_GBK"/>
          <w:spacing w:val="-10"/>
          <w:sz w:val="44"/>
          <w:szCs w:val="44"/>
        </w:rPr>
      </w:pPr>
    </w:p>
    <w:p w14:paraId="5133BB55">
      <w:pPr>
        <w:spacing w:line="300" w:lineRule="auto"/>
        <w:jc w:val="center"/>
        <w:rPr>
          <w:rFonts w:eastAsia="方正小标宋_GBK"/>
          <w:spacing w:val="-10"/>
          <w:sz w:val="44"/>
          <w:szCs w:val="44"/>
        </w:rPr>
        <w:sectPr>
          <w:footerReference r:id="rId4" w:type="default"/>
          <w:footerReference r:id="rId5" w:type="even"/>
          <w:footnotePr>
            <w:numRestart w:val="eachPage"/>
          </w:footnotePr>
          <w:pgSz w:w="11906" w:h="16838"/>
          <w:pgMar w:top="1814" w:right="1531" w:bottom="1588" w:left="1531" w:header="851" w:footer="1304" w:gutter="0"/>
          <w:pgNumType w:start="1"/>
          <w:cols w:space="720" w:num="1"/>
          <w:titlePg/>
          <w:docGrid w:type="lines" w:linePitch="312" w:charSpace="0"/>
        </w:sectPr>
      </w:pPr>
      <w:r>
        <w:rPr>
          <w:rFonts w:hint="eastAsia" w:eastAsia="方正小标宋_GBK" w:cs="方正小标宋_GBK"/>
          <w:spacing w:val="-10"/>
          <w:sz w:val="44"/>
          <w:szCs w:val="44"/>
        </w:rPr>
        <w:t>秦淮区国民经济和社会发展第十四个五年规划和二</w:t>
      </w:r>
      <w:r>
        <w:rPr>
          <w:rFonts w:hint="eastAsia" w:eastAsia="方正小标宋_GBK" w:cs="方正小标宋_GBK"/>
          <w:color w:val="000000"/>
          <w:sz w:val="44"/>
          <w:szCs w:val="44"/>
        </w:rPr>
        <w:t>〇</w:t>
      </w:r>
      <w:r>
        <w:rPr>
          <w:rFonts w:hint="eastAsia" w:eastAsia="方正小标宋_GBK" w:cs="方正小标宋_GBK"/>
          <w:spacing w:val="-10"/>
          <w:sz w:val="44"/>
          <w:szCs w:val="44"/>
        </w:rPr>
        <w:t>三五年远景目标纲要</w:t>
      </w:r>
      <w:bookmarkStart w:id="214" w:name="_GoBack"/>
      <w:bookmarkEnd w:id="214"/>
    </w:p>
    <w:p w14:paraId="31DC4842">
      <w:pPr>
        <w:pStyle w:val="3"/>
        <w:keepNext w:val="0"/>
        <w:keepLines w:val="0"/>
        <w:spacing w:before="0" w:after="0" w:line="540" w:lineRule="exact"/>
        <w:jc w:val="center"/>
        <w:rPr>
          <w:rFonts w:ascii="方正小标宋_GBK" w:eastAsia="方正小标宋_GBK"/>
          <w:b w:val="0"/>
          <w:bCs w:val="0"/>
        </w:rPr>
      </w:pPr>
      <w:r>
        <w:rPr>
          <w:rFonts w:hint="eastAsia" w:ascii="方正小标宋_GBK" w:eastAsia="方正小标宋_GBK" w:cs="方正小标宋_GBK"/>
          <w:b w:val="0"/>
          <w:bCs w:val="0"/>
        </w:rPr>
        <w:t>序</w:t>
      </w:r>
      <w:r>
        <w:rPr>
          <w:rFonts w:ascii="方正小标宋_GBK" w:eastAsia="方正小标宋_GBK" w:cs="方正小标宋_GBK"/>
          <w:b w:val="0"/>
          <w:bCs w:val="0"/>
        </w:rPr>
        <w:t xml:space="preserve"> </w:t>
      </w:r>
      <w:r>
        <w:rPr>
          <w:rFonts w:hint="eastAsia" w:ascii="方正小标宋_GBK" w:eastAsia="方正小标宋_GBK" w:cs="方正小标宋_GBK"/>
          <w:b w:val="0"/>
          <w:bCs w:val="0"/>
        </w:rPr>
        <w:t>言</w:t>
      </w:r>
    </w:p>
    <w:p w14:paraId="7B341CDB">
      <w:pPr>
        <w:spacing w:line="540" w:lineRule="exact"/>
        <w:ind w:firstLine="629"/>
        <w:rPr>
          <w:rFonts w:eastAsia="方正仿宋_GBK"/>
          <w:sz w:val="32"/>
          <w:szCs w:val="32"/>
        </w:rPr>
      </w:pPr>
      <w:bookmarkStart w:id="0" w:name="_Toc435210079"/>
    </w:p>
    <w:bookmarkEnd w:id="0"/>
    <w:p w14:paraId="721F4764">
      <w:pPr>
        <w:spacing w:line="540" w:lineRule="exact"/>
        <w:ind w:firstLine="629"/>
        <w:rPr>
          <w:rFonts w:eastAsia="方正仿宋_GBK"/>
          <w:sz w:val="32"/>
          <w:szCs w:val="32"/>
        </w:rPr>
        <w:sectPr>
          <w:footnotePr>
            <w:numRestart w:val="eachPage"/>
          </w:footnotePr>
          <w:pgSz w:w="11906" w:h="16838"/>
          <w:pgMar w:top="1814" w:right="1531" w:bottom="1588" w:left="1531" w:header="851" w:footer="1304" w:gutter="0"/>
          <w:pgNumType w:start="1"/>
          <w:cols w:space="720" w:num="1"/>
          <w:titlePg/>
          <w:docGrid w:type="lines" w:linePitch="312" w:charSpace="0"/>
        </w:sectPr>
      </w:pPr>
      <w:r>
        <w:rPr>
          <w:rFonts w:hint="eastAsia" w:eastAsia="方正仿宋_GBK" w:cs="方正仿宋_GBK"/>
          <w:sz w:val="32"/>
          <w:szCs w:val="32"/>
        </w:rPr>
        <w:t>“十四五”时期（</w:t>
      </w:r>
      <w:r>
        <w:rPr>
          <w:rFonts w:eastAsia="方正仿宋_GBK"/>
          <w:sz w:val="32"/>
          <w:szCs w:val="32"/>
        </w:rPr>
        <w:t>2021-2025</w:t>
      </w:r>
      <w:r>
        <w:rPr>
          <w:rFonts w:hint="eastAsia" w:eastAsia="方正仿宋_GBK" w:cs="方正仿宋_GBK"/>
          <w:sz w:val="32"/>
          <w:szCs w:val="32"/>
        </w:rPr>
        <w:t>年）是我国全面建成小康社会、实现第一个百年奋斗目标之后，开启全面建设社会主义现代化国家新征程、向第二个百年奋斗目标进军的第一个五年，是秦淮深入贯彻党的十九大和十九届二中、三中、四中、五中全会精神，和省委十三届九次全会、市委十四届十一次全会精神，认真落实习近平新时代中国特色社会主义思想，特别是习近平总书记对江苏工作重要讲话指示精神，推动高质量发展，践行“争当表率、争做示范、走在前列”重大使命，建设“强富美高”新秦淮的关键五年。处在这样的历史交汇点，秦淮深入分析面临的环境、机遇和挑战，精准定位坐标系，合理排定目标轴，全面勾绘路线图，明确聚焦发力点，依据《中共秦淮区委关于制定秦淮区国民经济和社会发展第十四个五年规划和二〇三五年远景目标的建议》，编制《秦淮区国民经济和社会发展第十四个五年规划和二〇三五年远景目标纲要》。《纲要》是指导秦淮未来五年发展的蓝图和纲领，对于在新起点上坚持并优化“三中心一高地”发展定位，深化“保护更新老城，开发建设新城”总体格局，坚定“特而精、最南京”、“创新名城示范区，美丽古都核心区”目标追求，提升中心城区首位度。在开启基本实现社会主义现代化建设新征程中走在前列、当好表率具有十分重要的意义。</w:t>
      </w:r>
    </w:p>
    <w:p w14:paraId="25571D0A">
      <w:pPr>
        <w:spacing w:line="520" w:lineRule="exact"/>
        <w:jc w:val="center"/>
        <w:rPr>
          <w:rFonts w:eastAsia="华文中宋"/>
          <w:sz w:val="44"/>
          <w:szCs w:val="44"/>
        </w:rPr>
      </w:pPr>
      <w:bookmarkStart w:id="1" w:name="_Toc19888"/>
      <w:bookmarkStart w:id="2" w:name="_Toc1018"/>
      <w:bookmarkStart w:id="3" w:name="_Toc18133"/>
      <w:bookmarkStart w:id="4" w:name="_Toc435210078"/>
      <w:bookmarkStart w:id="5" w:name="_Toc24386"/>
      <w:bookmarkStart w:id="6" w:name="_Toc435213973"/>
      <w:bookmarkStart w:id="7" w:name="_Toc435210305"/>
      <w:bookmarkStart w:id="8" w:name="_Toc439776004"/>
      <w:bookmarkStart w:id="9" w:name="_Toc436730125"/>
      <w:r>
        <w:rPr>
          <w:rFonts w:hint="eastAsia" w:ascii="方正小标宋_GBK" w:eastAsia="方正小标宋_GBK" w:cs="方正小标宋_GBK"/>
          <w:sz w:val="44"/>
          <w:szCs w:val="44"/>
        </w:rPr>
        <w:t>目</w:t>
      </w:r>
      <w:r>
        <w:rPr>
          <w:rFonts w:ascii="方正小标宋_GBK" w:eastAsia="方正小标宋_GBK" w:cs="方正小标宋_GBK"/>
          <w:sz w:val="44"/>
          <w:szCs w:val="44"/>
        </w:rPr>
        <w:t xml:space="preserve"> </w:t>
      </w:r>
      <w:r>
        <w:rPr>
          <w:rFonts w:hint="eastAsia" w:ascii="方正小标宋_GBK" w:eastAsia="方正小标宋_GBK" w:cs="方正小标宋_GBK"/>
          <w:sz w:val="44"/>
          <w:szCs w:val="44"/>
        </w:rPr>
        <w:t>录</w:t>
      </w:r>
      <w:bookmarkEnd w:id="1"/>
      <w:bookmarkEnd w:id="2"/>
      <w:bookmarkEnd w:id="3"/>
    </w:p>
    <w:p w14:paraId="421D7033">
      <w:pPr>
        <w:pStyle w:val="2"/>
        <w:rPr>
          <w:rFonts w:eastAsia="华文中宋"/>
          <w:sz w:val="44"/>
          <w:szCs w:val="44"/>
        </w:rPr>
      </w:pPr>
    </w:p>
    <w:p w14:paraId="4433583A">
      <w:pPr>
        <w:pStyle w:val="9"/>
        <w:tabs>
          <w:tab w:val="right" w:leader="dot" w:pos="8834"/>
        </w:tabs>
        <w:rPr>
          <w:rFonts w:eastAsia="华文中宋"/>
          <w:sz w:val="32"/>
          <w:szCs w:val="32"/>
        </w:rPr>
      </w:pPr>
      <w:r>
        <w:rPr>
          <w:rFonts w:eastAsia="华文中宋"/>
          <w:sz w:val="32"/>
          <w:szCs w:val="32"/>
        </w:rPr>
        <w:fldChar w:fldCharType="begin"/>
      </w:r>
      <w:r>
        <w:rPr>
          <w:rFonts w:eastAsia="华文中宋"/>
          <w:sz w:val="32"/>
          <w:szCs w:val="32"/>
        </w:rPr>
        <w:instrText xml:space="preserve">TOC \o "1-3" \h \u </w:instrText>
      </w:r>
      <w:r>
        <w:rPr>
          <w:rFonts w:eastAsia="华文中宋"/>
          <w:sz w:val="32"/>
          <w:szCs w:val="32"/>
        </w:rPr>
        <w:fldChar w:fldCharType="separate"/>
      </w:r>
      <w:r>
        <w:fldChar w:fldCharType="begin"/>
      </w:r>
      <w:r>
        <w:instrText xml:space="preserve"> HYPERLINK \l "_Toc60466202" </w:instrText>
      </w:r>
      <w:r>
        <w:fldChar w:fldCharType="separate"/>
      </w:r>
      <w:r>
        <w:rPr>
          <w:rStyle w:val="15"/>
          <w:rFonts w:hint="eastAsia" w:eastAsia="方正黑体_GBK" w:cs="方正黑体_GBK"/>
          <w:sz w:val="32"/>
          <w:szCs w:val="32"/>
        </w:rPr>
        <w:t>第一篇</w:t>
      </w:r>
      <w:r>
        <w:rPr>
          <w:rStyle w:val="15"/>
          <w:rFonts w:eastAsia="方正黑体_GBK"/>
          <w:sz w:val="32"/>
          <w:szCs w:val="32"/>
        </w:rPr>
        <w:t xml:space="preserve"> </w:t>
      </w:r>
      <w:r>
        <w:rPr>
          <w:rStyle w:val="15"/>
          <w:rFonts w:hint="eastAsia" w:eastAsia="方正黑体_GBK" w:cs="方正黑体_GBK"/>
          <w:sz w:val="32"/>
          <w:szCs w:val="32"/>
        </w:rPr>
        <w:t>开启基本实现社会主义现代化建设新征程推动“强富美高”新秦淮发展再起航</w:t>
      </w:r>
      <w:r>
        <w:rPr>
          <w:rFonts w:eastAsia="方正黑体_GBK"/>
          <w:sz w:val="32"/>
          <w:szCs w:val="32"/>
        </w:rPr>
        <w:tab/>
      </w:r>
      <w:r>
        <w:rPr>
          <w:rFonts w:eastAsia="方正黑体_GBK"/>
          <w:sz w:val="32"/>
          <w:szCs w:val="32"/>
        </w:rPr>
        <w:fldChar w:fldCharType="begin"/>
      </w:r>
      <w:r>
        <w:rPr>
          <w:rFonts w:eastAsia="方正黑体_GBK"/>
          <w:sz w:val="32"/>
          <w:szCs w:val="32"/>
        </w:rPr>
        <w:instrText xml:space="preserve"> PAGEREF _Toc60466202 \h </w:instrText>
      </w:r>
      <w:r>
        <w:rPr>
          <w:rFonts w:eastAsia="方正黑体_GBK"/>
          <w:sz w:val="32"/>
          <w:szCs w:val="32"/>
        </w:rPr>
        <w:fldChar w:fldCharType="separate"/>
      </w:r>
      <w:r>
        <w:rPr>
          <w:rFonts w:eastAsia="方正黑体_GBK"/>
          <w:sz w:val="32"/>
          <w:szCs w:val="32"/>
        </w:rPr>
        <w:t>10</w:t>
      </w:r>
      <w:r>
        <w:rPr>
          <w:rFonts w:eastAsia="方正黑体_GBK"/>
          <w:sz w:val="32"/>
          <w:szCs w:val="32"/>
        </w:rPr>
        <w:fldChar w:fldCharType="end"/>
      </w:r>
      <w:r>
        <w:rPr>
          <w:rFonts w:eastAsia="方正黑体_GBK"/>
          <w:sz w:val="32"/>
          <w:szCs w:val="32"/>
        </w:rPr>
        <w:fldChar w:fldCharType="end"/>
      </w:r>
    </w:p>
    <w:p w14:paraId="43DB2877">
      <w:pPr>
        <w:pStyle w:val="11"/>
        <w:tabs>
          <w:tab w:val="right" w:leader="dot" w:pos="8834"/>
        </w:tabs>
        <w:ind w:left="31680"/>
        <w:rPr>
          <w:rFonts w:eastAsia="方正仿宋_GBK"/>
          <w:sz w:val="32"/>
          <w:szCs w:val="32"/>
        </w:rPr>
      </w:pPr>
      <w:r>
        <w:fldChar w:fldCharType="begin"/>
      </w:r>
      <w:r>
        <w:instrText xml:space="preserve"> HYPERLINK \l "_Toc60466203" </w:instrText>
      </w:r>
      <w:r>
        <w:fldChar w:fldCharType="separate"/>
      </w:r>
      <w:r>
        <w:rPr>
          <w:rStyle w:val="15"/>
          <w:rFonts w:hint="eastAsia" w:eastAsia="方正仿宋_GBK" w:cs="方正仿宋_GBK"/>
          <w:sz w:val="32"/>
          <w:szCs w:val="32"/>
        </w:rPr>
        <w:t>第一章</w:t>
      </w:r>
      <w:r>
        <w:rPr>
          <w:rStyle w:val="15"/>
          <w:rFonts w:eastAsia="方正仿宋_GBK"/>
          <w:sz w:val="32"/>
          <w:szCs w:val="32"/>
        </w:rPr>
        <w:t xml:space="preserve"> </w:t>
      </w:r>
      <w:r>
        <w:rPr>
          <w:rStyle w:val="15"/>
          <w:rFonts w:hint="eastAsia" w:eastAsia="方正仿宋_GBK" w:cs="方正仿宋_GBK"/>
          <w:sz w:val="32"/>
          <w:szCs w:val="32"/>
        </w:rPr>
        <w:t>发展基础</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_Toc60466203 \h </w:instrText>
      </w:r>
      <w:r>
        <w:rPr>
          <w:rFonts w:eastAsia="方正仿宋_GBK"/>
          <w:sz w:val="32"/>
          <w:szCs w:val="32"/>
        </w:rPr>
        <w:fldChar w:fldCharType="separate"/>
      </w:r>
      <w:r>
        <w:rPr>
          <w:rFonts w:eastAsia="方正仿宋_GBK"/>
          <w:sz w:val="32"/>
          <w:szCs w:val="32"/>
        </w:rPr>
        <w:t>10</w:t>
      </w:r>
      <w:r>
        <w:rPr>
          <w:rFonts w:eastAsia="方正仿宋_GBK"/>
          <w:sz w:val="32"/>
          <w:szCs w:val="32"/>
        </w:rPr>
        <w:fldChar w:fldCharType="end"/>
      </w:r>
      <w:r>
        <w:rPr>
          <w:rFonts w:eastAsia="方正仿宋_GBK"/>
          <w:sz w:val="32"/>
          <w:szCs w:val="32"/>
        </w:rPr>
        <w:fldChar w:fldCharType="end"/>
      </w:r>
    </w:p>
    <w:p w14:paraId="64B0870D">
      <w:pPr>
        <w:pStyle w:val="11"/>
        <w:tabs>
          <w:tab w:val="right" w:leader="dot" w:pos="8834"/>
        </w:tabs>
        <w:ind w:left="31680"/>
        <w:rPr>
          <w:rFonts w:eastAsia="方正仿宋_GBK"/>
          <w:sz w:val="32"/>
          <w:szCs w:val="32"/>
        </w:rPr>
      </w:pPr>
      <w:r>
        <w:fldChar w:fldCharType="begin"/>
      </w:r>
      <w:r>
        <w:instrText xml:space="preserve"> HYPERLINK \l "_Toc60466204" </w:instrText>
      </w:r>
      <w:r>
        <w:fldChar w:fldCharType="separate"/>
      </w:r>
      <w:r>
        <w:rPr>
          <w:rStyle w:val="15"/>
          <w:rFonts w:hint="eastAsia" w:eastAsia="方正仿宋_GBK" w:cs="方正仿宋_GBK"/>
          <w:sz w:val="32"/>
          <w:szCs w:val="32"/>
        </w:rPr>
        <w:t>第二章</w:t>
      </w:r>
      <w:r>
        <w:rPr>
          <w:rStyle w:val="15"/>
          <w:rFonts w:eastAsia="方正仿宋_GBK"/>
          <w:sz w:val="32"/>
          <w:szCs w:val="32"/>
        </w:rPr>
        <w:t xml:space="preserve"> </w:t>
      </w:r>
      <w:r>
        <w:rPr>
          <w:rStyle w:val="15"/>
          <w:rFonts w:hint="eastAsia" w:eastAsia="方正仿宋_GBK" w:cs="方正仿宋_GBK"/>
          <w:sz w:val="32"/>
          <w:szCs w:val="32"/>
        </w:rPr>
        <w:t>机遇挑战</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_Toc60466204 \h </w:instrText>
      </w:r>
      <w:r>
        <w:rPr>
          <w:rFonts w:eastAsia="方正仿宋_GBK"/>
          <w:sz w:val="32"/>
          <w:szCs w:val="32"/>
        </w:rPr>
        <w:fldChar w:fldCharType="separate"/>
      </w:r>
      <w:r>
        <w:rPr>
          <w:rFonts w:eastAsia="方正仿宋_GBK"/>
          <w:sz w:val="32"/>
          <w:szCs w:val="32"/>
        </w:rPr>
        <w:t>19</w:t>
      </w:r>
      <w:r>
        <w:rPr>
          <w:rFonts w:eastAsia="方正仿宋_GBK"/>
          <w:sz w:val="32"/>
          <w:szCs w:val="32"/>
        </w:rPr>
        <w:fldChar w:fldCharType="end"/>
      </w:r>
      <w:r>
        <w:rPr>
          <w:rFonts w:eastAsia="方正仿宋_GBK"/>
          <w:sz w:val="32"/>
          <w:szCs w:val="32"/>
        </w:rPr>
        <w:fldChar w:fldCharType="end"/>
      </w:r>
    </w:p>
    <w:p w14:paraId="11438A1F">
      <w:pPr>
        <w:pStyle w:val="11"/>
        <w:tabs>
          <w:tab w:val="right" w:leader="dot" w:pos="8834"/>
        </w:tabs>
        <w:ind w:left="31680"/>
        <w:rPr>
          <w:rFonts w:eastAsia="华文中宋"/>
          <w:sz w:val="32"/>
          <w:szCs w:val="32"/>
        </w:rPr>
      </w:pPr>
      <w:r>
        <w:fldChar w:fldCharType="begin"/>
      </w:r>
      <w:r>
        <w:instrText xml:space="preserve"> HYPERLINK \l "_Toc60466205" </w:instrText>
      </w:r>
      <w:r>
        <w:fldChar w:fldCharType="separate"/>
      </w:r>
      <w:r>
        <w:rPr>
          <w:rStyle w:val="15"/>
          <w:rFonts w:hint="eastAsia" w:eastAsia="方正仿宋_GBK" w:cs="方正仿宋_GBK"/>
          <w:sz w:val="32"/>
          <w:szCs w:val="32"/>
        </w:rPr>
        <w:t>第三章</w:t>
      </w:r>
      <w:r>
        <w:rPr>
          <w:rStyle w:val="15"/>
          <w:rFonts w:eastAsia="方正仿宋_GBK"/>
          <w:sz w:val="32"/>
          <w:szCs w:val="32"/>
        </w:rPr>
        <w:t xml:space="preserve"> </w:t>
      </w:r>
      <w:r>
        <w:rPr>
          <w:rStyle w:val="15"/>
          <w:rFonts w:hint="eastAsia" w:eastAsia="方正仿宋_GBK" w:cs="方正仿宋_GBK"/>
          <w:sz w:val="32"/>
          <w:szCs w:val="32"/>
        </w:rPr>
        <w:t>总体要求</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_Toc60466205 \h </w:instrText>
      </w:r>
      <w:r>
        <w:rPr>
          <w:rFonts w:eastAsia="方正仿宋_GBK"/>
          <w:sz w:val="32"/>
          <w:szCs w:val="32"/>
        </w:rPr>
        <w:fldChar w:fldCharType="separate"/>
      </w:r>
      <w:r>
        <w:rPr>
          <w:rFonts w:eastAsia="方正仿宋_GBK"/>
          <w:sz w:val="32"/>
          <w:szCs w:val="32"/>
        </w:rPr>
        <w:t>23</w:t>
      </w:r>
      <w:r>
        <w:rPr>
          <w:rFonts w:eastAsia="方正仿宋_GBK"/>
          <w:sz w:val="32"/>
          <w:szCs w:val="32"/>
        </w:rPr>
        <w:fldChar w:fldCharType="end"/>
      </w:r>
      <w:r>
        <w:rPr>
          <w:rFonts w:eastAsia="方正仿宋_GBK"/>
          <w:sz w:val="32"/>
          <w:szCs w:val="32"/>
        </w:rPr>
        <w:fldChar w:fldCharType="end"/>
      </w:r>
    </w:p>
    <w:p w14:paraId="3B1427F7">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"_Toc60466206" </w:instrText>
      </w:r>
      <w:r>
        <w:fldChar w:fldCharType="separate"/>
      </w:r>
      <w:r>
        <w:rPr>
          <w:rStyle w:val="15"/>
          <w:rFonts w:hint="eastAsia" w:ascii="Times New Roman" w:hAnsi="Times New Roman" w:eastAsia="方正楷体_GBK" w:cs="方正楷体_GBK"/>
          <w:sz w:val="32"/>
          <w:szCs w:val="32"/>
        </w:rPr>
        <w:t>第一节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指导思想</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_Toc60466206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23</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7FC43267">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"_Toc60466207" </w:instrText>
      </w:r>
      <w:r>
        <w:fldChar w:fldCharType="separate"/>
      </w:r>
      <w:r>
        <w:rPr>
          <w:rStyle w:val="15"/>
          <w:rFonts w:hint="eastAsia" w:ascii="Times New Roman" w:hAnsi="Times New Roman" w:eastAsia="方正楷体_GBK" w:cs="方正楷体_GBK"/>
          <w:sz w:val="32"/>
          <w:szCs w:val="32"/>
        </w:rPr>
        <w:t>第二节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总体格局</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_Toc60466207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25</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78345270">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"_Toc60466208" </w:instrText>
      </w:r>
      <w:r>
        <w:fldChar w:fldCharType="separate"/>
      </w:r>
      <w:r>
        <w:rPr>
          <w:rStyle w:val="15"/>
          <w:rFonts w:hint="eastAsia" w:ascii="Times New Roman" w:hAnsi="Times New Roman" w:eastAsia="方正楷体_GBK" w:cs="方正楷体_GBK"/>
          <w:sz w:val="32"/>
          <w:szCs w:val="32"/>
        </w:rPr>
        <w:t>第三节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发展定位</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_Toc60466208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31</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29485531">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"_Toc60466209" </w:instrText>
      </w:r>
      <w:r>
        <w:fldChar w:fldCharType="separate"/>
      </w:r>
      <w:r>
        <w:rPr>
          <w:rStyle w:val="15"/>
          <w:rFonts w:hint="eastAsia" w:ascii="Times New Roman" w:hAnsi="Times New Roman" w:eastAsia="方正楷体_GBK" w:cs="方正楷体_GBK"/>
          <w:sz w:val="32"/>
          <w:szCs w:val="32"/>
        </w:rPr>
        <w:t>第四节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二〇三五年远景目标</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_Toc60466209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32</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6BE9D2B0">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"_Toc60466210" </w:instrText>
      </w:r>
      <w:r>
        <w:fldChar w:fldCharType="separate"/>
      </w:r>
      <w:r>
        <w:rPr>
          <w:rStyle w:val="15"/>
          <w:rFonts w:hint="eastAsia" w:ascii="Times New Roman" w:hAnsi="Times New Roman" w:eastAsia="方正楷体_GBK" w:cs="方正楷体_GBK"/>
          <w:sz w:val="32"/>
          <w:szCs w:val="32"/>
        </w:rPr>
        <w:t>第五节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“十四五”经济社会发展目标</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_Toc60466210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33</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67AB3263">
      <w:pPr>
        <w:pStyle w:val="6"/>
        <w:tabs>
          <w:tab w:val="right" w:leader="dot" w:pos="8834"/>
        </w:tabs>
        <w:ind w:left="31680"/>
        <w:rPr>
          <w:rFonts w:ascii="Times New Roman" w:hAnsi="Times New Roman" w:eastAsia="华文中宋" w:cs="Times New Roman"/>
          <w:sz w:val="32"/>
          <w:szCs w:val="32"/>
        </w:rPr>
      </w:pPr>
      <w:r>
        <w:fldChar w:fldCharType="begin"/>
      </w:r>
      <w:r>
        <w:instrText xml:space="preserve"> HYPERLINK \l "_Toc60466211" </w:instrText>
      </w:r>
      <w:r>
        <w:fldChar w:fldCharType="separate"/>
      </w:r>
      <w:r>
        <w:rPr>
          <w:rStyle w:val="15"/>
          <w:rFonts w:ascii="Times New Roman" w:hAnsi="Times New Roman" w:eastAsia="方正楷体_GBK" w:cs="Times New Roman"/>
          <w:sz w:val="32"/>
          <w:szCs w:val="32"/>
        </w:rPr>
        <w:t>“</w:t>
      </w:r>
      <w:r>
        <w:rPr>
          <w:rStyle w:val="15"/>
          <w:rFonts w:hint="eastAsia" w:ascii="Times New Roman" w:hAnsi="Times New Roman" w:eastAsia="方正楷体_GBK" w:cs="方正楷体_GBK"/>
          <w:sz w:val="32"/>
          <w:szCs w:val="32"/>
        </w:rPr>
        <w:t>十四五</w:t>
      </w:r>
      <w:r>
        <w:rPr>
          <w:rStyle w:val="15"/>
          <w:rFonts w:ascii="Times New Roman" w:hAnsi="Times New Roman" w:eastAsia="方正楷体_GBK" w:cs="Times New Roman"/>
          <w:sz w:val="32"/>
          <w:szCs w:val="32"/>
        </w:rPr>
        <w:t>”</w:t>
      </w:r>
      <w:r>
        <w:rPr>
          <w:rStyle w:val="15"/>
          <w:rFonts w:hint="eastAsia" w:ascii="Times New Roman" w:hAnsi="Times New Roman" w:eastAsia="方正楷体_GBK" w:cs="方正楷体_GBK"/>
          <w:sz w:val="32"/>
          <w:szCs w:val="32"/>
        </w:rPr>
        <w:t>规划纲要经济社会发展主要指标体系表</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_Toc60466211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36</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35B28D9F">
      <w:pPr>
        <w:pStyle w:val="9"/>
        <w:tabs>
          <w:tab w:val="right" w:leader="dot" w:pos="8834"/>
        </w:tabs>
        <w:rPr>
          <w:rFonts w:eastAsia="方正黑体_GBK"/>
          <w:sz w:val="32"/>
          <w:szCs w:val="32"/>
        </w:rPr>
      </w:pPr>
      <w:r>
        <w:fldChar w:fldCharType="begin"/>
      </w:r>
      <w:r>
        <w:instrText xml:space="preserve"> HYPERLINK \l "_Toc60466212" </w:instrText>
      </w:r>
      <w:r>
        <w:fldChar w:fldCharType="separate"/>
      </w:r>
      <w:r>
        <w:rPr>
          <w:rStyle w:val="15"/>
          <w:rFonts w:hint="eastAsia" w:eastAsia="方正黑体_GBK" w:cs="方正黑体_GBK"/>
          <w:sz w:val="32"/>
          <w:szCs w:val="32"/>
        </w:rPr>
        <w:t>第二篇</w:t>
      </w:r>
      <w:r>
        <w:rPr>
          <w:rStyle w:val="15"/>
          <w:rFonts w:eastAsia="方正黑体_GBK"/>
          <w:sz w:val="32"/>
          <w:szCs w:val="32"/>
        </w:rPr>
        <w:t xml:space="preserve"> </w:t>
      </w:r>
      <w:r>
        <w:rPr>
          <w:rStyle w:val="15"/>
          <w:rFonts w:hint="eastAsia" w:eastAsia="方正黑体_GBK" w:cs="方正黑体_GBK"/>
          <w:sz w:val="32"/>
          <w:szCs w:val="32"/>
        </w:rPr>
        <w:t>硅巷高新双轮驱动，率先突破全域创新，激发秦淮科创活力新能量</w:t>
      </w:r>
      <w:r>
        <w:rPr>
          <w:rFonts w:eastAsia="方正黑体_GBK"/>
          <w:sz w:val="32"/>
          <w:szCs w:val="32"/>
        </w:rPr>
        <w:tab/>
      </w:r>
      <w:r>
        <w:rPr>
          <w:rFonts w:eastAsia="方正黑体_GBK"/>
          <w:sz w:val="32"/>
          <w:szCs w:val="32"/>
        </w:rPr>
        <w:fldChar w:fldCharType="begin"/>
      </w:r>
      <w:r>
        <w:rPr>
          <w:rFonts w:eastAsia="方正黑体_GBK"/>
          <w:sz w:val="32"/>
          <w:szCs w:val="32"/>
        </w:rPr>
        <w:instrText xml:space="preserve"> PAGEREF _Toc60466212 \h </w:instrText>
      </w:r>
      <w:r>
        <w:rPr>
          <w:rFonts w:eastAsia="方正黑体_GBK"/>
          <w:sz w:val="32"/>
          <w:szCs w:val="32"/>
        </w:rPr>
        <w:fldChar w:fldCharType="separate"/>
      </w:r>
      <w:r>
        <w:rPr>
          <w:rFonts w:eastAsia="方正黑体_GBK"/>
          <w:sz w:val="32"/>
          <w:szCs w:val="32"/>
        </w:rPr>
        <w:t>37</w:t>
      </w:r>
      <w:r>
        <w:rPr>
          <w:rFonts w:eastAsia="方正黑体_GBK"/>
          <w:sz w:val="32"/>
          <w:szCs w:val="32"/>
        </w:rPr>
        <w:fldChar w:fldCharType="end"/>
      </w:r>
      <w:r>
        <w:rPr>
          <w:rFonts w:eastAsia="方正黑体_GBK"/>
          <w:sz w:val="32"/>
          <w:szCs w:val="32"/>
        </w:rPr>
        <w:fldChar w:fldCharType="end"/>
      </w:r>
    </w:p>
    <w:p w14:paraId="45E68A9C">
      <w:pPr>
        <w:pStyle w:val="11"/>
        <w:tabs>
          <w:tab w:val="right" w:leader="dot" w:pos="8834"/>
        </w:tabs>
        <w:ind w:left="31680"/>
        <w:rPr>
          <w:rFonts w:eastAsia="方正仿宋_GBK"/>
          <w:sz w:val="32"/>
          <w:szCs w:val="32"/>
        </w:rPr>
      </w:pPr>
      <w:r>
        <w:fldChar w:fldCharType="begin"/>
      </w:r>
      <w:r>
        <w:instrText xml:space="preserve"> HYPERLINK \l "_Toc60466213" </w:instrText>
      </w:r>
      <w:r>
        <w:fldChar w:fldCharType="separate"/>
      </w:r>
      <w:r>
        <w:rPr>
          <w:rStyle w:val="15"/>
          <w:rFonts w:hint="eastAsia" w:eastAsia="方正仿宋_GBK" w:cs="方正仿宋_GBK"/>
          <w:sz w:val="32"/>
          <w:szCs w:val="32"/>
        </w:rPr>
        <w:t>第四章</w:t>
      </w:r>
      <w:r>
        <w:rPr>
          <w:rStyle w:val="15"/>
          <w:rFonts w:eastAsia="方正仿宋_GBK"/>
          <w:sz w:val="32"/>
          <w:szCs w:val="32"/>
        </w:rPr>
        <w:t xml:space="preserve"> </w:t>
      </w:r>
      <w:r>
        <w:rPr>
          <w:rStyle w:val="15"/>
          <w:rFonts w:hint="eastAsia" w:eastAsia="方正仿宋_GBK" w:cs="方正仿宋_GBK"/>
          <w:sz w:val="32"/>
          <w:szCs w:val="32"/>
        </w:rPr>
        <w:t>率先实现创新驱动发展</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_Toc60466213 \h </w:instrText>
      </w:r>
      <w:r>
        <w:rPr>
          <w:rFonts w:eastAsia="方正仿宋_GBK"/>
          <w:sz w:val="32"/>
          <w:szCs w:val="32"/>
        </w:rPr>
        <w:fldChar w:fldCharType="separate"/>
      </w:r>
      <w:r>
        <w:rPr>
          <w:rFonts w:eastAsia="方正仿宋_GBK"/>
          <w:sz w:val="32"/>
          <w:szCs w:val="32"/>
        </w:rPr>
        <w:t>37</w:t>
      </w:r>
      <w:r>
        <w:rPr>
          <w:rFonts w:eastAsia="方正仿宋_GBK"/>
          <w:sz w:val="32"/>
          <w:szCs w:val="32"/>
        </w:rPr>
        <w:fldChar w:fldCharType="end"/>
      </w:r>
      <w:r>
        <w:rPr>
          <w:rFonts w:eastAsia="方正仿宋_GBK"/>
          <w:sz w:val="32"/>
          <w:szCs w:val="32"/>
        </w:rPr>
        <w:fldChar w:fldCharType="end"/>
      </w:r>
    </w:p>
    <w:p w14:paraId="242FDB04">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"_Toc60466214" </w:instrText>
      </w:r>
      <w:r>
        <w:fldChar w:fldCharType="separate"/>
      </w:r>
      <w:r>
        <w:rPr>
          <w:rStyle w:val="15"/>
          <w:rFonts w:hint="eastAsia" w:ascii="Times New Roman" w:hAnsi="Times New Roman" w:eastAsia="方正楷体_GBK" w:cs="方正楷体_GBK"/>
          <w:sz w:val="32"/>
          <w:szCs w:val="32"/>
        </w:rPr>
        <w:t>第一节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提升秦淮硅巷质效</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_Toc60466214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37</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535A769F">
      <w:pPr>
        <w:pStyle w:val="6"/>
        <w:tabs>
          <w:tab w:val="right" w:leader="dot" w:pos="8834"/>
        </w:tabs>
        <w:ind w:left="31680"/>
        <w:rPr>
          <w:rFonts w:ascii="Times New Roman" w:hAnsi="Times New Roman" w:eastAsia="方正仿宋_GBK" w:cs="Times New Roman"/>
          <w:sz w:val="32"/>
          <w:szCs w:val="32"/>
        </w:rPr>
      </w:pPr>
      <w:r>
        <w:fldChar w:fldCharType="begin"/>
      </w:r>
      <w:r>
        <w:instrText xml:space="preserve"> HYPERLINK \l "_Toc60466215" </w:instrText>
      </w:r>
      <w:r>
        <w:fldChar w:fldCharType="separate"/>
      </w:r>
      <w:r>
        <w:rPr>
          <w:rStyle w:val="15"/>
          <w:rFonts w:hint="eastAsia" w:ascii="Times New Roman" w:hAnsi="Times New Roman" w:eastAsia="方正楷体_GBK" w:cs="方正楷体_GBK"/>
          <w:sz w:val="32"/>
          <w:szCs w:val="32"/>
        </w:rPr>
        <w:t>第二节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发挥高新区主阵地作用</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_Toc60466215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38</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68990236">
      <w:pPr>
        <w:pStyle w:val="11"/>
        <w:tabs>
          <w:tab w:val="right" w:leader="dot" w:pos="8834"/>
        </w:tabs>
        <w:ind w:left="31680"/>
        <w:rPr>
          <w:rFonts w:eastAsia="方正仿宋_GBK"/>
          <w:sz w:val="32"/>
          <w:szCs w:val="32"/>
        </w:rPr>
      </w:pPr>
      <w:r>
        <w:fldChar w:fldCharType="begin"/>
      </w:r>
      <w:r>
        <w:instrText xml:space="preserve"> HYPERLINK \l "_Toc60466216" </w:instrText>
      </w:r>
      <w:r>
        <w:fldChar w:fldCharType="separate"/>
      </w:r>
      <w:r>
        <w:rPr>
          <w:rStyle w:val="15"/>
          <w:rFonts w:hint="eastAsia" w:eastAsia="方正仿宋_GBK" w:cs="方正仿宋_GBK"/>
          <w:sz w:val="32"/>
          <w:szCs w:val="32"/>
        </w:rPr>
        <w:t>第五章</w:t>
      </w:r>
      <w:r>
        <w:rPr>
          <w:rStyle w:val="15"/>
          <w:rFonts w:eastAsia="方正仿宋_GBK"/>
          <w:sz w:val="32"/>
          <w:szCs w:val="32"/>
        </w:rPr>
        <w:t xml:space="preserve"> </w:t>
      </w:r>
      <w:r>
        <w:rPr>
          <w:rStyle w:val="15"/>
          <w:rFonts w:hint="eastAsia" w:eastAsia="方正仿宋_GBK" w:cs="方正仿宋_GBK"/>
          <w:sz w:val="32"/>
          <w:szCs w:val="32"/>
        </w:rPr>
        <w:t>培育高能级科创森林</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_Toc60466216 \h </w:instrText>
      </w:r>
      <w:r>
        <w:rPr>
          <w:rFonts w:eastAsia="方正仿宋_GBK"/>
          <w:sz w:val="32"/>
          <w:szCs w:val="32"/>
        </w:rPr>
        <w:fldChar w:fldCharType="separate"/>
      </w:r>
      <w:r>
        <w:rPr>
          <w:rFonts w:eastAsia="方正仿宋_GBK"/>
          <w:sz w:val="32"/>
          <w:szCs w:val="32"/>
        </w:rPr>
        <w:t>39</w:t>
      </w:r>
      <w:r>
        <w:rPr>
          <w:rFonts w:eastAsia="方正仿宋_GBK"/>
          <w:sz w:val="32"/>
          <w:szCs w:val="32"/>
        </w:rPr>
        <w:fldChar w:fldCharType="end"/>
      </w:r>
      <w:r>
        <w:rPr>
          <w:rFonts w:eastAsia="方正仿宋_GBK"/>
          <w:sz w:val="32"/>
          <w:szCs w:val="32"/>
        </w:rPr>
        <w:fldChar w:fldCharType="end"/>
      </w:r>
    </w:p>
    <w:p w14:paraId="03FBB4CB">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"_Toc60466217" </w:instrText>
      </w:r>
      <w:r>
        <w:fldChar w:fldCharType="separate"/>
      </w:r>
      <w:r>
        <w:rPr>
          <w:rStyle w:val="15"/>
          <w:rFonts w:hint="eastAsia" w:ascii="Times New Roman" w:hAnsi="Times New Roman" w:eastAsia="方正楷体_GBK" w:cs="方正楷体_GBK"/>
          <w:sz w:val="32"/>
          <w:szCs w:val="32"/>
        </w:rPr>
        <w:t>第一节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做强新型研发机构</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_Toc60466217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39</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70B017AC">
      <w:pPr>
        <w:pStyle w:val="6"/>
        <w:tabs>
          <w:tab w:val="right" w:leader="dot" w:pos="8834"/>
        </w:tabs>
        <w:ind w:left="31680"/>
        <w:rPr>
          <w:rFonts w:ascii="Times New Roman" w:hAnsi="Times New Roman" w:eastAsia="方正仿宋_GBK" w:cs="Times New Roman"/>
          <w:sz w:val="32"/>
          <w:szCs w:val="32"/>
        </w:rPr>
      </w:pPr>
      <w:r>
        <w:fldChar w:fldCharType="begin"/>
      </w:r>
      <w:r>
        <w:instrText xml:space="preserve"> HYPERLINK \l "_Toc60466218" </w:instrText>
      </w:r>
      <w:r>
        <w:fldChar w:fldCharType="separate"/>
      </w:r>
      <w:r>
        <w:rPr>
          <w:rStyle w:val="15"/>
          <w:rFonts w:hint="eastAsia" w:ascii="Times New Roman" w:hAnsi="Times New Roman" w:eastAsia="方正楷体_GBK" w:cs="方正楷体_GBK"/>
          <w:sz w:val="32"/>
          <w:szCs w:val="32"/>
        </w:rPr>
        <w:t>第二节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释放企业创新动能</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_Toc60466218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41</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1C43E243">
      <w:pPr>
        <w:pStyle w:val="11"/>
        <w:tabs>
          <w:tab w:val="right" w:leader="dot" w:pos="8834"/>
        </w:tabs>
        <w:ind w:left="31680"/>
        <w:rPr>
          <w:rFonts w:eastAsia="方正仿宋_GBK"/>
          <w:sz w:val="32"/>
          <w:szCs w:val="32"/>
        </w:rPr>
      </w:pPr>
      <w:r>
        <w:fldChar w:fldCharType="begin"/>
      </w:r>
      <w:r>
        <w:instrText xml:space="preserve"> HYPERLINK \l "_Toc60466220" </w:instrText>
      </w:r>
      <w:r>
        <w:fldChar w:fldCharType="separate"/>
      </w:r>
      <w:r>
        <w:rPr>
          <w:rStyle w:val="15"/>
          <w:rFonts w:hint="eastAsia" w:eastAsia="方正仿宋_GBK" w:cs="方正仿宋_GBK"/>
          <w:sz w:val="32"/>
          <w:szCs w:val="32"/>
        </w:rPr>
        <w:t>第六章</w:t>
      </w:r>
      <w:r>
        <w:rPr>
          <w:rStyle w:val="15"/>
          <w:rFonts w:eastAsia="方正仿宋_GBK"/>
          <w:sz w:val="32"/>
          <w:szCs w:val="32"/>
        </w:rPr>
        <w:t xml:space="preserve"> </w:t>
      </w:r>
      <w:r>
        <w:rPr>
          <w:rStyle w:val="15"/>
          <w:rFonts w:hint="eastAsia" w:eastAsia="方正仿宋_GBK" w:cs="方正仿宋_GBK"/>
          <w:sz w:val="32"/>
          <w:szCs w:val="32"/>
        </w:rPr>
        <w:t>吸纳高层次创新创业人才</w:t>
      </w:r>
      <w:r>
        <w:rPr>
          <w:rFonts w:eastAsia="方正仿宋_GBK"/>
          <w:sz w:val="32"/>
          <w:szCs w:val="32"/>
        </w:rPr>
        <w:tab/>
      </w:r>
      <w:r>
        <w:rPr>
          <w:rFonts w:eastAsia="方正仿宋_GBK"/>
          <w:sz w:val="32"/>
          <w:szCs w:val="32"/>
        </w:rPr>
        <w:t>3</w:t>
      </w:r>
      <w:r>
        <w:rPr>
          <w:rFonts w:eastAsia="方正仿宋_GBK"/>
          <w:sz w:val="32"/>
          <w:szCs w:val="32"/>
        </w:rPr>
        <w:fldChar w:fldCharType="end"/>
      </w:r>
      <w:r>
        <w:rPr>
          <w:rFonts w:eastAsia="方正仿宋_GBK"/>
          <w:sz w:val="32"/>
          <w:szCs w:val="32"/>
        </w:rPr>
        <w:t>3</w:t>
      </w:r>
    </w:p>
    <w:p w14:paraId="26AB9358">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"_Toc60466221" </w:instrText>
      </w:r>
      <w:r>
        <w:fldChar w:fldCharType="separate"/>
      </w:r>
      <w:r>
        <w:rPr>
          <w:rStyle w:val="15"/>
          <w:rFonts w:hint="eastAsia" w:ascii="Times New Roman" w:hAnsi="Times New Roman" w:eastAsia="方正楷体_GBK" w:cs="方正楷体_GBK"/>
          <w:sz w:val="32"/>
          <w:szCs w:val="32"/>
        </w:rPr>
        <w:t>第一节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打造区域产才融合高地</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_Toc60466221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42</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7DC6DF4C">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"_Toc60466222" </w:instrText>
      </w:r>
      <w:r>
        <w:fldChar w:fldCharType="separate"/>
      </w:r>
      <w:r>
        <w:rPr>
          <w:rStyle w:val="15"/>
          <w:rFonts w:hint="eastAsia" w:ascii="Times New Roman" w:hAnsi="Times New Roman" w:eastAsia="方正楷体_GBK" w:cs="方正楷体_GBK"/>
          <w:sz w:val="32"/>
          <w:szCs w:val="32"/>
        </w:rPr>
        <w:t>第二节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集聚全球创新智力资源</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_Toc60466222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43</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517225EE">
      <w:pPr>
        <w:pStyle w:val="6"/>
        <w:tabs>
          <w:tab w:val="right" w:leader="dot" w:pos="8834"/>
        </w:tabs>
        <w:ind w:left="31680"/>
        <w:rPr>
          <w:rFonts w:ascii="Times New Roman" w:hAnsi="Times New Roman" w:eastAsia="方正仿宋_GBK" w:cs="Times New Roman"/>
          <w:sz w:val="32"/>
          <w:szCs w:val="32"/>
        </w:rPr>
      </w:pPr>
      <w:r>
        <w:fldChar w:fldCharType="begin"/>
      </w:r>
      <w:r>
        <w:instrText xml:space="preserve"> HYPERLINK \l "_Toc60466223" </w:instrText>
      </w:r>
      <w:r>
        <w:fldChar w:fldCharType="separate"/>
      </w:r>
      <w:r>
        <w:rPr>
          <w:rStyle w:val="15"/>
          <w:rFonts w:hint="eastAsia" w:ascii="Times New Roman" w:hAnsi="Times New Roman" w:eastAsia="方正楷体_GBK" w:cs="方正楷体_GBK"/>
          <w:sz w:val="32"/>
          <w:szCs w:val="32"/>
        </w:rPr>
        <w:t>第三节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提供全域高标人才服务</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_Toc60466223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44</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09E8F995">
      <w:pPr>
        <w:pStyle w:val="11"/>
        <w:tabs>
          <w:tab w:val="right" w:leader="dot" w:pos="8834"/>
        </w:tabs>
        <w:ind w:left="31680"/>
        <w:rPr>
          <w:rFonts w:eastAsia="方正仿宋_GBK"/>
          <w:sz w:val="32"/>
          <w:szCs w:val="32"/>
        </w:rPr>
      </w:pPr>
      <w:r>
        <w:fldChar w:fldCharType="begin"/>
      </w:r>
      <w:r>
        <w:instrText xml:space="preserve"> HYPERLINK \l "_Toc60466224" </w:instrText>
      </w:r>
      <w:r>
        <w:fldChar w:fldCharType="separate"/>
      </w:r>
      <w:r>
        <w:rPr>
          <w:rStyle w:val="15"/>
          <w:rFonts w:hint="eastAsia" w:eastAsia="方正仿宋_GBK" w:cs="方正仿宋_GBK"/>
          <w:sz w:val="32"/>
          <w:szCs w:val="32"/>
        </w:rPr>
        <w:t>第七章</w:t>
      </w:r>
      <w:r>
        <w:rPr>
          <w:rStyle w:val="15"/>
          <w:rFonts w:eastAsia="方正仿宋_GBK"/>
          <w:sz w:val="32"/>
          <w:szCs w:val="32"/>
        </w:rPr>
        <w:t xml:space="preserve"> </w:t>
      </w:r>
      <w:r>
        <w:rPr>
          <w:rStyle w:val="15"/>
          <w:rFonts w:hint="eastAsia" w:eastAsia="方正仿宋_GBK" w:cs="方正仿宋_GBK"/>
          <w:sz w:val="32"/>
          <w:szCs w:val="32"/>
        </w:rPr>
        <w:t>涵养高品质创新生态</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_Toc60466224 \h </w:instrText>
      </w:r>
      <w:r>
        <w:rPr>
          <w:rFonts w:eastAsia="方正仿宋_GBK"/>
          <w:sz w:val="32"/>
          <w:szCs w:val="32"/>
        </w:rPr>
        <w:fldChar w:fldCharType="separate"/>
      </w:r>
      <w:r>
        <w:rPr>
          <w:rFonts w:eastAsia="方正仿宋_GBK"/>
          <w:sz w:val="32"/>
          <w:szCs w:val="32"/>
        </w:rPr>
        <w:t>44</w:t>
      </w:r>
      <w:r>
        <w:rPr>
          <w:rFonts w:eastAsia="方正仿宋_GBK"/>
          <w:sz w:val="32"/>
          <w:szCs w:val="32"/>
        </w:rPr>
        <w:fldChar w:fldCharType="end"/>
      </w:r>
      <w:r>
        <w:rPr>
          <w:rFonts w:eastAsia="方正仿宋_GBK"/>
          <w:sz w:val="32"/>
          <w:szCs w:val="32"/>
        </w:rPr>
        <w:fldChar w:fldCharType="end"/>
      </w:r>
    </w:p>
    <w:p w14:paraId="310FB019">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"_Toc60466225" </w:instrText>
      </w:r>
      <w:r>
        <w:fldChar w:fldCharType="separate"/>
      </w:r>
      <w:r>
        <w:rPr>
          <w:rStyle w:val="15"/>
          <w:rFonts w:hint="eastAsia" w:ascii="Times New Roman" w:hAnsi="Times New Roman" w:eastAsia="方正楷体_GBK" w:cs="方正楷体_GBK"/>
          <w:sz w:val="32"/>
          <w:szCs w:val="32"/>
        </w:rPr>
        <w:t>第一节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提升创新服务能力</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_Toc60466225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45</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1B37383E">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"_Toc60466226" </w:instrText>
      </w:r>
      <w:r>
        <w:fldChar w:fldCharType="separate"/>
      </w:r>
      <w:r>
        <w:rPr>
          <w:rStyle w:val="15"/>
          <w:rFonts w:hint="eastAsia" w:ascii="Times New Roman" w:hAnsi="Times New Roman" w:eastAsia="方正楷体_GBK" w:cs="方正楷体_GBK"/>
          <w:sz w:val="32"/>
          <w:szCs w:val="32"/>
        </w:rPr>
        <w:t>第二节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强化知识产权保护</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_Toc60466226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45</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6E1B106D">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"_Toc60466227" </w:instrText>
      </w:r>
      <w:r>
        <w:fldChar w:fldCharType="separate"/>
      </w:r>
      <w:r>
        <w:rPr>
          <w:rStyle w:val="15"/>
          <w:rFonts w:hint="eastAsia" w:ascii="Times New Roman" w:hAnsi="Times New Roman" w:eastAsia="方正楷体_GBK" w:cs="方正楷体_GBK"/>
          <w:sz w:val="32"/>
          <w:szCs w:val="32"/>
        </w:rPr>
        <w:t>第三节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增强科创金融支撑</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_Toc60466227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46</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46D3AD7E">
      <w:pPr>
        <w:pStyle w:val="6"/>
        <w:tabs>
          <w:tab w:val="right" w:leader="dot" w:pos="8834"/>
        </w:tabs>
        <w:ind w:left="31680"/>
        <w:rPr>
          <w:rFonts w:ascii="Times New Roman" w:hAnsi="Times New Roman" w:eastAsia="华文中宋" w:cs="Times New Roman"/>
          <w:sz w:val="32"/>
          <w:szCs w:val="32"/>
        </w:rPr>
      </w:pPr>
      <w:r>
        <w:fldChar w:fldCharType="begin"/>
      </w:r>
      <w:r>
        <w:instrText xml:space="preserve"> HYPERLINK \l "_Toc60466228" </w:instrText>
      </w:r>
      <w:r>
        <w:fldChar w:fldCharType="separate"/>
      </w:r>
      <w:r>
        <w:rPr>
          <w:rStyle w:val="15"/>
          <w:rFonts w:hint="eastAsia" w:ascii="Times New Roman" w:hAnsi="Times New Roman" w:eastAsia="方正楷体_GBK" w:cs="方正楷体_GBK"/>
          <w:sz w:val="32"/>
          <w:szCs w:val="32"/>
        </w:rPr>
        <w:t>第四节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促进成果转化应用</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_Toc60466228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47</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7FAA1050">
      <w:pPr>
        <w:pStyle w:val="9"/>
        <w:tabs>
          <w:tab w:val="right" w:leader="dot" w:pos="8834"/>
        </w:tabs>
        <w:rPr>
          <w:rFonts w:eastAsia="方正黑体_GBK"/>
          <w:sz w:val="32"/>
          <w:szCs w:val="32"/>
        </w:rPr>
      </w:pPr>
      <w:r>
        <w:fldChar w:fldCharType="begin"/>
      </w:r>
      <w:r>
        <w:instrText xml:space="preserve"> HYPERLINK \l "_Toc60466229" </w:instrText>
      </w:r>
      <w:r>
        <w:fldChar w:fldCharType="separate"/>
      </w:r>
      <w:r>
        <w:rPr>
          <w:rStyle w:val="15"/>
          <w:rFonts w:hint="eastAsia" w:eastAsia="方正黑体_GBK" w:cs="方正黑体_GBK"/>
          <w:sz w:val="32"/>
          <w:szCs w:val="32"/>
        </w:rPr>
        <w:t>第三篇</w:t>
      </w:r>
      <w:r>
        <w:rPr>
          <w:rStyle w:val="15"/>
          <w:rFonts w:eastAsia="方正黑体_GBK"/>
          <w:sz w:val="32"/>
          <w:szCs w:val="32"/>
        </w:rPr>
        <w:t xml:space="preserve"> </w:t>
      </w:r>
      <w:r>
        <w:rPr>
          <w:rStyle w:val="15"/>
          <w:rFonts w:hint="eastAsia" w:eastAsia="方正黑体_GBK" w:cs="方正黑体_GBK"/>
          <w:sz w:val="32"/>
          <w:szCs w:val="32"/>
        </w:rPr>
        <w:t>南部新城发展起飞，主导产业质效双增，增强秦淮经济活力新动能</w:t>
      </w:r>
      <w:r>
        <w:rPr>
          <w:rFonts w:eastAsia="方正黑体_GBK"/>
          <w:sz w:val="32"/>
          <w:szCs w:val="32"/>
        </w:rPr>
        <w:tab/>
      </w:r>
      <w:r>
        <w:rPr>
          <w:rFonts w:eastAsia="方正黑体_GBK"/>
          <w:sz w:val="32"/>
          <w:szCs w:val="32"/>
        </w:rPr>
        <w:fldChar w:fldCharType="begin"/>
      </w:r>
      <w:r>
        <w:rPr>
          <w:rFonts w:eastAsia="方正黑体_GBK"/>
          <w:sz w:val="32"/>
          <w:szCs w:val="32"/>
        </w:rPr>
        <w:instrText xml:space="preserve"> PAGEREF _Toc60466229 \h </w:instrText>
      </w:r>
      <w:r>
        <w:rPr>
          <w:rFonts w:eastAsia="方正黑体_GBK"/>
          <w:sz w:val="32"/>
          <w:szCs w:val="32"/>
        </w:rPr>
        <w:fldChar w:fldCharType="separate"/>
      </w:r>
      <w:r>
        <w:rPr>
          <w:rFonts w:eastAsia="方正黑体_GBK"/>
          <w:sz w:val="32"/>
          <w:szCs w:val="32"/>
        </w:rPr>
        <w:t>47</w:t>
      </w:r>
      <w:r>
        <w:rPr>
          <w:rFonts w:eastAsia="方正黑体_GBK"/>
          <w:sz w:val="32"/>
          <w:szCs w:val="32"/>
        </w:rPr>
        <w:fldChar w:fldCharType="end"/>
      </w:r>
      <w:r>
        <w:rPr>
          <w:rFonts w:eastAsia="方正黑体_GBK"/>
          <w:sz w:val="32"/>
          <w:szCs w:val="32"/>
        </w:rPr>
        <w:fldChar w:fldCharType="end"/>
      </w:r>
    </w:p>
    <w:p w14:paraId="11EFC977">
      <w:pPr>
        <w:pStyle w:val="11"/>
        <w:tabs>
          <w:tab w:val="right" w:leader="dot" w:pos="8834"/>
        </w:tabs>
        <w:ind w:left="31680"/>
        <w:rPr>
          <w:rFonts w:eastAsia="方正仿宋_GBK"/>
          <w:sz w:val="32"/>
          <w:szCs w:val="32"/>
        </w:rPr>
      </w:pPr>
      <w:r>
        <w:fldChar w:fldCharType="begin"/>
      </w:r>
      <w:r>
        <w:instrText xml:space="preserve"> HYPERLINK \l "_Toc60466230" </w:instrText>
      </w:r>
      <w:r>
        <w:fldChar w:fldCharType="separate"/>
      </w:r>
      <w:r>
        <w:rPr>
          <w:rStyle w:val="15"/>
          <w:rFonts w:hint="eastAsia" w:eastAsia="方正仿宋_GBK" w:cs="方正仿宋_GBK"/>
          <w:sz w:val="32"/>
          <w:szCs w:val="32"/>
        </w:rPr>
        <w:t>第八章</w:t>
      </w:r>
      <w:r>
        <w:rPr>
          <w:rStyle w:val="15"/>
          <w:rFonts w:eastAsia="方正仿宋_GBK"/>
          <w:sz w:val="32"/>
          <w:szCs w:val="32"/>
        </w:rPr>
        <w:t xml:space="preserve"> </w:t>
      </w:r>
      <w:r>
        <w:rPr>
          <w:rStyle w:val="15"/>
          <w:rFonts w:hint="eastAsia" w:eastAsia="方正仿宋_GBK" w:cs="方正仿宋_GBK"/>
          <w:sz w:val="32"/>
          <w:szCs w:val="32"/>
        </w:rPr>
        <w:t>释放南部新城主导产业动能</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_Toc60466230 \h </w:instrText>
      </w:r>
      <w:r>
        <w:rPr>
          <w:rFonts w:eastAsia="方正仿宋_GBK"/>
          <w:sz w:val="32"/>
          <w:szCs w:val="32"/>
        </w:rPr>
        <w:fldChar w:fldCharType="separate"/>
      </w:r>
      <w:r>
        <w:rPr>
          <w:rFonts w:eastAsia="方正仿宋_GBK"/>
          <w:sz w:val="32"/>
          <w:szCs w:val="32"/>
        </w:rPr>
        <w:t>48</w:t>
      </w:r>
      <w:r>
        <w:rPr>
          <w:rFonts w:eastAsia="方正仿宋_GBK"/>
          <w:sz w:val="32"/>
          <w:szCs w:val="32"/>
        </w:rPr>
        <w:fldChar w:fldCharType="end"/>
      </w:r>
      <w:r>
        <w:rPr>
          <w:rFonts w:eastAsia="方正仿宋_GBK"/>
          <w:sz w:val="32"/>
          <w:szCs w:val="32"/>
        </w:rPr>
        <w:fldChar w:fldCharType="end"/>
      </w:r>
    </w:p>
    <w:p w14:paraId="0ED68572">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"_Toc60466231" </w:instrText>
      </w:r>
      <w:r>
        <w:fldChar w:fldCharType="separate"/>
      </w:r>
      <w:r>
        <w:rPr>
          <w:rStyle w:val="15"/>
          <w:rFonts w:hint="eastAsia" w:ascii="Times New Roman" w:hAnsi="Times New Roman" w:eastAsia="方正楷体_GBK" w:cs="方正楷体_GBK"/>
          <w:sz w:val="32"/>
          <w:szCs w:val="32"/>
        </w:rPr>
        <w:t>第一节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构建都市圈超级总部集聚区</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_Toc60466231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48</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2FE91C87">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"_Toc60466232" </w:instrText>
      </w:r>
      <w:r>
        <w:fldChar w:fldCharType="separate"/>
      </w:r>
      <w:r>
        <w:rPr>
          <w:rStyle w:val="15"/>
          <w:rFonts w:hint="eastAsia" w:ascii="Times New Roman" w:hAnsi="Times New Roman" w:eastAsia="方正楷体_GBK" w:cs="方正楷体_GBK"/>
          <w:sz w:val="32"/>
          <w:szCs w:val="32"/>
        </w:rPr>
        <w:t>第二节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打造现代时尚文化矽谷</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_Toc60466232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49</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11E6BCDE">
      <w:pPr>
        <w:pStyle w:val="6"/>
        <w:tabs>
          <w:tab w:val="right" w:leader="dot" w:pos="8834"/>
        </w:tabs>
        <w:ind w:left="31680"/>
        <w:rPr>
          <w:rFonts w:ascii="Times New Roman" w:hAnsi="Times New Roman" w:eastAsia="方正仿宋_GBK" w:cs="Times New Roman"/>
          <w:sz w:val="32"/>
          <w:szCs w:val="32"/>
        </w:rPr>
      </w:pPr>
      <w:r>
        <w:fldChar w:fldCharType="begin"/>
      </w:r>
      <w:r>
        <w:instrText xml:space="preserve"> HYPERLINK \l "_Toc60466233" </w:instrText>
      </w:r>
      <w:r>
        <w:fldChar w:fldCharType="separate"/>
      </w:r>
      <w:r>
        <w:rPr>
          <w:rStyle w:val="15"/>
          <w:rFonts w:hint="eastAsia" w:ascii="Times New Roman" w:hAnsi="Times New Roman" w:eastAsia="方正楷体_GBK" w:cs="方正楷体_GBK"/>
          <w:sz w:val="32"/>
          <w:szCs w:val="32"/>
        </w:rPr>
        <w:t>第三节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打造健康休闲产业集群</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_Toc60466233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49</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439EBBA1">
      <w:pPr>
        <w:pStyle w:val="11"/>
        <w:tabs>
          <w:tab w:val="right" w:leader="dot" w:pos="8834"/>
        </w:tabs>
        <w:ind w:left="31680"/>
        <w:rPr>
          <w:rFonts w:eastAsia="方正仿宋_GBK"/>
          <w:sz w:val="32"/>
          <w:szCs w:val="32"/>
        </w:rPr>
      </w:pPr>
      <w:r>
        <w:fldChar w:fldCharType="begin"/>
      </w:r>
      <w:r>
        <w:instrText xml:space="preserve"> HYPERLINK \l "_Toc60466234" </w:instrText>
      </w:r>
      <w:r>
        <w:fldChar w:fldCharType="separate"/>
      </w:r>
      <w:r>
        <w:rPr>
          <w:rStyle w:val="15"/>
          <w:rFonts w:hint="eastAsia" w:eastAsia="方正仿宋_GBK" w:cs="方正仿宋_GBK"/>
          <w:sz w:val="32"/>
          <w:szCs w:val="32"/>
        </w:rPr>
        <w:t>第九章</w:t>
      </w:r>
      <w:r>
        <w:rPr>
          <w:rStyle w:val="15"/>
          <w:rFonts w:eastAsia="方正仿宋_GBK"/>
          <w:sz w:val="32"/>
          <w:szCs w:val="32"/>
        </w:rPr>
        <w:t xml:space="preserve"> </w:t>
      </w:r>
      <w:r>
        <w:rPr>
          <w:rStyle w:val="15"/>
          <w:rFonts w:hint="eastAsia" w:eastAsia="方正仿宋_GBK" w:cs="方正仿宋_GBK"/>
          <w:sz w:val="32"/>
          <w:szCs w:val="32"/>
        </w:rPr>
        <w:t>促进传统产业优化升级</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_Toc60466234 \h </w:instrText>
      </w:r>
      <w:r>
        <w:rPr>
          <w:rFonts w:eastAsia="方正仿宋_GBK"/>
          <w:sz w:val="32"/>
          <w:szCs w:val="32"/>
        </w:rPr>
        <w:fldChar w:fldCharType="separate"/>
      </w:r>
      <w:r>
        <w:rPr>
          <w:rFonts w:eastAsia="方正仿宋_GBK"/>
          <w:sz w:val="32"/>
          <w:szCs w:val="32"/>
        </w:rPr>
        <w:t>50</w:t>
      </w:r>
      <w:r>
        <w:rPr>
          <w:rFonts w:eastAsia="方正仿宋_GBK"/>
          <w:sz w:val="32"/>
          <w:szCs w:val="32"/>
        </w:rPr>
        <w:fldChar w:fldCharType="end"/>
      </w:r>
      <w:r>
        <w:rPr>
          <w:rFonts w:eastAsia="方正仿宋_GBK"/>
          <w:sz w:val="32"/>
          <w:szCs w:val="32"/>
        </w:rPr>
        <w:fldChar w:fldCharType="end"/>
      </w:r>
    </w:p>
    <w:p w14:paraId="75198637">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"_Toc60466235" </w:instrText>
      </w:r>
      <w:r>
        <w:fldChar w:fldCharType="separate"/>
      </w:r>
      <w:r>
        <w:rPr>
          <w:rStyle w:val="15"/>
          <w:rFonts w:hint="eastAsia" w:ascii="Times New Roman" w:hAnsi="Times New Roman" w:eastAsia="方正楷体_GBK" w:cs="方正楷体_GBK"/>
          <w:sz w:val="32"/>
          <w:szCs w:val="32"/>
        </w:rPr>
        <w:t>第一节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促进商贸商务转型</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_Toc60466235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50</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109C8F51">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"_Toc60466236" </w:instrText>
      </w:r>
      <w:r>
        <w:fldChar w:fldCharType="separate"/>
      </w:r>
      <w:r>
        <w:rPr>
          <w:rStyle w:val="15"/>
          <w:rFonts w:hint="eastAsia" w:ascii="Times New Roman" w:hAnsi="Times New Roman" w:eastAsia="方正楷体_GBK" w:cs="方正楷体_GBK"/>
          <w:sz w:val="32"/>
          <w:szCs w:val="32"/>
        </w:rPr>
        <w:t>第二节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突出现代金融特色</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_Toc60466236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51</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40DCB46E">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"_Toc60466237" </w:instrText>
      </w:r>
      <w:r>
        <w:fldChar w:fldCharType="separate"/>
      </w:r>
      <w:r>
        <w:rPr>
          <w:rStyle w:val="15"/>
          <w:rFonts w:hint="eastAsia" w:ascii="Times New Roman" w:hAnsi="Times New Roman" w:eastAsia="方正楷体_GBK" w:cs="方正楷体_GBK"/>
          <w:sz w:val="32"/>
          <w:szCs w:val="32"/>
        </w:rPr>
        <w:t>第三节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推进文旅商融合发展</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_Toc60466237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51</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2BB805B5">
      <w:pPr>
        <w:pStyle w:val="6"/>
        <w:tabs>
          <w:tab w:val="right" w:leader="dot" w:pos="8834"/>
        </w:tabs>
        <w:ind w:left="31680"/>
        <w:rPr>
          <w:rFonts w:ascii="Times New Roman" w:hAnsi="Times New Roman" w:eastAsia="方正仿宋_GBK" w:cs="Times New Roman"/>
          <w:sz w:val="32"/>
          <w:szCs w:val="32"/>
        </w:rPr>
      </w:pPr>
      <w:r>
        <w:fldChar w:fldCharType="begin"/>
      </w:r>
      <w:r>
        <w:instrText xml:space="preserve"> HYPERLINK \l "_Toc60466238" </w:instrText>
      </w:r>
      <w:r>
        <w:fldChar w:fldCharType="separate"/>
      </w:r>
      <w:r>
        <w:rPr>
          <w:rStyle w:val="15"/>
          <w:rFonts w:hint="eastAsia" w:ascii="Times New Roman" w:hAnsi="Times New Roman" w:eastAsia="方正楷体_GBK" w:cs="方正楷体_GBK"/>
          <w:sz w:val="32"/>
          <w:szCs w:val="32"/>
        </w:rPr>
        <w:t>第四节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做强软件和信息服务</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_Toc60466238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52</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2E192031">
      <w:pPr>
        <w:pStyle w:val="11"/>
        <w:tabs>
          <w:tab w:val="right" w:leader="dot" w:pos="8834"/>
        </w:tabs>
        <w:ind w:left="31680"/>
        <w:rPr>
          <w:rFonts w:eastAsia="方正仿宋_GBK"/>
          <w:sz w:val="32"/>
          <w:szCs w:val="32"/>
        </w:rPr>
      </w:pPr>
      <w:r>
        <w:fldChar w:fldCharType="begin"/>
      </w:r>
      <w:r>
        <w:instrText xml:space="preserve"> HYPERLINK \l "_Toc60466239" </w:instrText>
      </w:r>
      <w:r>
        <w:fldChar w:fldCharType="separate"/>
      </w:r>
      <w:r>
        <w:rPr>
          <w:rStyle w:val="15"/>
          <w:rFonts w:hint="eastAsia" w:eastAsia="方正仿宋_GBK" w:cs="方正仿宋_GBK"/>
          <w:sz w:val="32"/>
          <w:szCs w:val="32"/>
        </w:rPr>
        <w:t>第十章</w:t>
      </w:r>
      <w:r>
        <w:rPr>
          <w:rStyle w:val="15"/>
          <w:rFonts w:eastAsia="方正仿宋_GBK"/>
          <w:sz w:val="32"/>
          <w:szCs w:val="32"/>
        </w:rPr>
        <w:t xml:space="preserve"> </w:t>
      </w:r>
      <w:r>
        <w:rPr>
          <w:rStyle w:val="15"/>
          <w:rFonts w:hint="eastAsia" w:eastAsia="方正仿宋_GBK" w:cs="方正仿宋_GBK"/>
          <w:sz w:val="32"/>
          <w:szCs w:val="32"/>
        </w:rPr>
        <w:t>激发新兴产业发展潜能</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_Toc60466239 \h </w:instrText>
      </w:r>
      <w:r>
        <w:rPr>
          <w:rFonts w:eastAsia="方正仿宋_GBK"/>
          <w:sz w:val="32"/>
          <w:szCs w:val="32"/>
        </w:rPr>
        <w:fldChar w:fldCharType="separate"/>
      </w:r>
      <w:r>
        <w:rPr>
          <w:rFonts w:eastAsia="方正仿宋_GBK"/>
          <w:sz w:val="32"/>
          <w:szCs w:val="32"/>
        </w:rPr>
        <w:t>53</w:t>
      </w:r>
      <w:r>
        <w:rPr>
          <w:rFonts w:eastAsia="方正仿宋_GBK"/>
          <w:sz w:val="32"/>
          <w:szCs w:val="32"/>
        </w:rPr>
        <w:fldChar w:fldCharType="end"/>
      </w:r>
      <w:r>
        <w:rPr>
          <w:rFonts w:eastAsia="方正仿宋_GBK"/>
          <w:sz w:val="32"/>
          <w:szCs w:val="32"/>
        </w:rPr>
        <w:fldChar w:fldCharType="end"/>
      </w:r>
    </w:p>
    <w:p w14:paraId="74C22418">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"_Toc60466240" </w:instrText>
      </w:r>
      <w:r>
        <w:fldChar w:fldCharType="separate"/>
      </w:r>
      <w:r>
        <w:rPr>
          <w:rStyle w:val="15"/>
          <w:rFonts w:hint="eastAsia" w:ascii="Times New Roman" w:hAnsi="Times New Roman" w:eastAsia="方正楷体_GBK" w:cs="方正楷体_GBK"/>
          <w:sz w:val="32"/>
          <w:szCs w:val="32"/>
        </w:rPr>
        <w:t>第一节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加速布局认知物联网</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_Toc60466240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53</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4C5F2E8B">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"_Toc60466241" </w:instrText>
      </w:r>
      <w:r>
        <w:fldChar w:fldCharType="separate"/>
      </w:r>
      <w:r>
        <w:rPr>
          <w:rStyle w:val="15"/>
          <w:rFonts w:hint="eastAsia" w:ascii="Times New Roman" w:hAnsi="Times New Roman" w:eastAsia="方正楷体_GBK" w:cs="方正楷体_GBK"/>
          <w:sz w:val="32"/>
          <w:szCs w:val="32"/>
        </w:rPr>
        <w:t>第二节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提速发展车联网</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_Toc60466241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53</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296A2F0E">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"_Toc60466242" </w:instrText>
      </w:r>
      <w:r>
        <w:fldChar w:fldCharType="separate"/>
      </w:r>
      <w:r>
        <w:rPr>
          <w:rStyle w:val="15"/>
          <w:rFonts w:hint="eastAsia" w:ascii="Times New Roman" w:hAnsi="Times New Roman" w:eastAsia="方正楷体_GBK" w:cs="方正楷体_GBK"/>
          <w:sz w:val="32"/>
          <w:szCs w:val="32"/>
        </w:rPr>
        <w:t>第三节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加紧突破人工智能</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_Toc60466242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53</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43735BFD">
      <w:pPr>
        <w:pStyle w:val="6"/>
        <w:tabs>
          <w:tab w:val="right" w:leader="dot" w:pos="8834"/>
        </w:tabs>
        <w:ind w:left="31680"/>
        <w:rPr>
          <w:rFonts w:ascii="Times New Roman" w:hAnsi="Times New Roman" w:eastAsia="方正仿宋_GBK" w:cs="Times New Roman"/>
          <w:sz w:val="32"/>
          <w:szCs w:val="32"/>
        </w:rPr>
      </w:pPr>
      <w:r>
        <w:fldChar w:fldCharType="begin"/>
      </w:r>
      <w:r>
        <w:instrText xml:space="preserve"> HYPERLINK \l "_Toc60466243" </w:instrText>
      </w:r>
      <w:r>
        <w:fldChar w:fldCharType="separate"/>
      </w:r>
      <w:r>
        <w:rPr>
          <w:rStyle w:val="15"/>
          <w:rFonts w:hint="eastAsia" w:ascii="Times New Roman" w:hAnsi="Times New Roman" w:eastAsia="方正楷体_GBK" w:cs="方正楷体_GBK"/>
          <w:sz w:val="32"/>
          <w:szCs w:val="32"/>
        </w:rPr>
        <w:t>第四节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深入推进大健康</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_Toc60466243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54</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7C5ED5AE">
      <w:pPr>
        <w:pStyle w:val="11"/>
        <w:tabs>
          <w:tab w:val="right" w:leader="dot" w:pos="8834"/>
        </w:tabs>
        <w:ind w:left="31680"/>
        <w:rPr>
          <w:rFonts w:eastAsia="方正仿宋_GBK"/>
          <w:sz w:val="32"/>
          <w:szCs w:val="32"/>
        </w:rPr>
      </w:pPr>
      <w:r>
        <w:fldChar w:fldCharType="begin"/>
      </w:r>
      <w:r>
        <w:instrText xml:space="preserve"> HYPERLINK \l "_Toc60466244" </w:instrText>
      </w:r>
      <w:r>
        <w:fldChar w:fldCharType="separate"/>
      </w:r>
      <w:r>
        <w:rPr>
          <w:rStyle w:val="15"/>
          <w:rFonts w:hint="eastAsia" w:eastAsia="方正仿宋_GBK" w:cs="方正仿宋_GBK"/>
          <w:sz w:val="32"/>
          <w:szCs w:val="32"/>
        </w:rPr>
        <w:t>第十一章</w:t>
      </w:r>
      <w:r>
        <w:rPr>
          <w:rStyle w:val="15"/>
          <w:rFonts w:eastAsia="方正仿宋_GBK"/>
          <w:sz w:val="32"/>
          <w:szCs w:val="32"/>
        </w:rPr>
        <w:t xml:space="preserve"> </w:t>
      </w:r>
      <w:r>
        <w:rPr>
          <w:rStyle w:val="15"/>
          <w:rFonts w:hint="eastAsia" w:eastAsia="方正仿宋_GBK" w:cs="方正仿宋_GBK"/>
          <w:sz w:val="32"/>
          <w:szCs w:val="32"/>
        </w:rPr>
        <w:t>加快发展现代都市工业</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_Toc60466244 \h </w:instrText>
      </w:r>
      <w:r>
        <w:rPr>
          <w:rFonts w:eastAsia="方正仿宋_GBK"/>
          <w:sz w:val="32"/>
          <w:szCs w:val="32"/>
        </w:rPr>
        <w:fldChar w:fldCharType="separate"/>
      </w:r>
      <w:r>
        <w:rPr>
          <w:rFonts w:eastAsia="方正仿宋_GBK"/>
          <w:sz w:val="32"/>
          <w:szCs w:val="32"/>
        </w:rPr>
        <w:t>54</w:t>
      </w:r>
      <w:r>
        <w:rPr>
          <w:rFonts w:eastAsia="方正仿宋_GBK"/>
          <w:sz w:val="32"/>
          <w:szCs w:val="32"/>
        </w:rPr>
        <w:fldChar w:fldCharType="end"/>
      </w:r>
      <w:r>
        <w:rPr>
          <w:rFonts w:eastAsia="方正仿宋_GBK"/>
          <w:sz w:val="32"/>
          <w:szCs w:val="32"/>
        </w:rPr>
        <w:fldChar w:fldCharType="end"/>
      </w:r>
    </w:p>
    <w:p w14:paraId="7BE37E0E">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"_Toc60466245" </w:instrText>
      </w:r>
      <w:r>
        <w:fldChar w:fldCharType="separate"/>
      </w:r>
      <w:r>
        <w:rPr>
          <w:rStyle w:val="15"/>
          <w:rFonts w:hint="eastAsia" w:ascii="Times New Roman" w:hAnsi="Times New Roman" w:eastAsia="方正楷体_GBK" w:cs="方正楷体_GBK"/>
          <w:sz w:val="32"/>
          <w:szCs w:val="32"/>
        </w:rPr>
        <w:t>第一节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推进智能制造发展</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_Toc60466245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54</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62346780">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"_Toc60466246" </w:instrText>
      </w:r>
      <w:r>
        <w:fldChar w:fldCharType="separate"/>
      </w:r>
      <w:r>
        <w:rPr>
          <w:rStyle w:val="15"/>
          <w:rFonts w:hint="eastAsia" w:ascii="Times New Roman" w:hAnsi="Times New Roman" w:eastAsia="方正楷体_GBK" w:cs="方正楷体_GBK"/>
          <w:sz w:val="32"/>
          <w:szCs w:val="32"/>
        </w:rPr>
        <w:t>第二节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引导传统工企转型升级</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_Toc60466246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55</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425D1AD3">
      <w:pPr>
        <w:pStyle w:val="6"/>
        <w:tabs>
          <w:tab w:val="right" w:leader="dot" w:pos="8834"/>
        </w:tabs>
        <w:ind w:left="31680"/>
        <w:rPr>
          <w:rFonts w:ascii="Times New Roman" w:hAnsi="Times New Roman" w:eastAsia="华文中宋" w:cs="Times New Roman"/>
          <w:sz w:val="32"/>
          <w:szCs w:val="32"/>
        </w:rPr>
      </w:pPr>
      <w:r>
        <w:fldChar w:fldCharType="begin"/>
      </w:r>
      <w:r>
        <w:instrText xml:space="preserve"> HYPERLINK \l "_Toc60466247" </w:instrText>
      </w:r>
      <w:r>
        <w:fldChar w:fldCharType="separate"/>
      </w:r>
      <w:r>
        <w:rPr>
          <w:rStyle w:val="15"/>
          <w:rFonts w:hint="eastAsia" w:ascii="Times New Roman" w:hAnsi="Times New Roman" w:eastAsia="方正楷体_GBK" w:cs="方正楷体_GBK"/>
          <w:sz w:val="32"/>
          <w:szCs w:val="32"/>
        </w:rPr>
        <w:t>第三节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打造都市工业集群</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_Toc60466247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55</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3CEB8616">
      <w:pPr>
        <w:pStyle w:val="9"/>
        <w:tabs>
          <w:tab w:val="right" w:leader="dot" w:pos="8834"/>
        </w:tabs>
        <w:rPr>
          <w:rFonts w:eastAsia="方正黑体_GBK"/>
          <w:sz w:val="32"/>
          <w:szCs w:val="32"/>
        </w:rPr>
      </w:pPr>
      <w:r>
        <w:fldChar w:fldCharType="begin"/>
      </w:r>
      <w:r>
        <w:instrText xml:space="preserve"> HYPERLINK \l "_Toc60466248" </w:instrText>
      </w:r>
      <w:r>
        <w:fldChar w:fldCharType="separate"/>
      </w:r>
      <w:r>
        <w:rPr>
          <w:rStyle w:val="15"/>
          <w:rFonts w:hint="eastAsia" w:eastAsia="方正黑体_GBK" w:cs="方正黑体_GBK"/>
          <w:sz w:val="32"/>
          <w:szCs w:val="32"/>
        </w:rPr>
        <w:t>第四篇</w:t>
      </w:r>
      <w:r>
        <w:rPr>
          <w:rStyle w:val="15"/>
          <w:rFonts w:eastAsia="方正黑体_GBK"/>
          <w:sz w:val="32"/>
          <w:szCs w:val="32"/>
        </w:rPr>
        <w:t xml:space="preserve"> </w:t>
      </w:r>
      <w:r>
        <w:rPr>
          <w:rStyle w:val="15"/>
          <w:rFonts w:hint="eastAsia" w:eastAsia="方正黑体_GBK" w:cs="方正黑体_GBK"/>
          <w:sz w:val="32"/>
          <w:szCs w:val="32"/>
        </w:rPr>
        <w:t>凸显四大板块特色，实现秦淮水系联动，拓展秦淮空间活力新腹地</w:t>
      </w:r>
      <w:r>
        <w:rPr>
          <w:rFonts w:eastAsia="方正黑体_GBK"/>
          <w:sz w:val="32"/>
          <w:szCs w:val="32"/>
        </w:rPr>
        <w:tab/>
      </w:r>
      <w:r>
        <w:rPr>
          <w:rFonts w:eastAsia="方正黑体_GBK"/>
          <w:sz w:val="32"/>
          <w:szCs w:val="32"/>
        </w:rPr>
        <w:fldChar w:fldCharType="begin"/>
      </w:r>
      <w:r>
        <w:rPr>
          <w:rFonts w:eastAsia="方正黑体_GBK"/>
          <w:sz w:val="32"/>
          <w:szCs w:val="32"/>
        </w:rPr>
        <w:instrText xml:space="preserve"> PAGEREF _Toc60466248 \h </w:instrText>
      </w:r>
      <w:r>
        <w:rPr>
          <w:rFonts w:eastAsia="方正黑体_GBK"/>
          <w:sz w:val="32"/>
          <w:szCs w:val="32"/>
        </w:rPr>
        <w:fldChar w:fldCharType="separate"/>
      </w:r>
      <w:r>
        <w:rPr>
          <w:rFonts w:eastAsia="方正黑体_GBK"/>
          <w:sz w:val="32"/>
          <w:szCs w:val="32"/>
        </w:rPr>
        <w:t>56</w:t>
      </w:r>
      <w:r>
        <w:rPr>
          <w:rFonts w:eastAsia="方正黑体_GBK"/>
          <w:sz w:val="32"/>
          <w:szCs w:val="32"/>
        </w:rPr>
        <w:fldChar w:fldCharType="end"/>
      </w:r>
      <w:r>
        <w:rPr>
          <w:rFonts w:eastAsia="方正黑体_GBK"/>
          <w:sz w:val="32"/>
          <w:szCs w:val="32"/>
        </w:rPr>
        <w:fldChar w:fldCharType="end"/>
      </w:r>
    </w:p>
    <w:p w14:paraId="6B6CBA4B">
      <w:pPr>
        <w:pStyle w:val="11"/>
        <w:tabs>
          <w:tab w:val="right" w:leader="dot" w:pos="8834"/>
        </w:tabs>
        <w:ind w:left="31680"/>
        <w:rPr>
          <w:rFonts w:eastAsia="方正仿宋_GBK"/>
          <w:sz w:val="32"/>
          <w:szCs w:val="32"/>
        </w:rPr>
      </w:pPr>
      <w:r>
        <w:fldChar w:fldCharType="begin"/>
      </w:r>
      <w:r>
        <w:instrText xml:space="preserve"> HYPERLINK \l "_Toc60466249" </w:instrText>
      </w:r>
      <w:r>
        <w:fldChar w:fldCharType="separate"/>
      </w:r>
      <w:r>
        <w:rPr>
          <w:rStyle w:val="15"/>
          <w:rFonts w:hint="eastAsia" w:eastAsia="方正仿宋_GBK" w:cs="方正仿宋_GBK"/>
          <w:sz w:val="32"/>
          <w:szCs w:val="32"/>
        </w:rPr>
        <w:t>第十二章</w:t>
      </w:r>
      <w:r>
        <w:rPr>
          <w:rStyle w:val="15"/>
          <w:rFonts w:eastAsia="方正仿宋_GBK"/>
          <w:sz w:val="32"/>
          <w:szCs w:val="32"/>
        </w:rPr>
        <w:t xml:space="preserve"> </w:t>
      </w:r>
      <w:r>
        <w:rPr>
          <w:rStyle w:val="15"/>
          <w:rFonts w:hint="eastAsia" w:eastAsia="方正仿宋_GBK" w:cs="方正仿宋_GBK"/>
          <w:sz w:val="32"/>
          <w:szCs w:val="32"/>
        </w:rPr>
        <w:t>优化四大板块功能布局</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_Toc60466249 \h </w:instrText>
      </w:r>
      <w:r>
        <w:rPr>
          <w:rFonts w:eastAsia="方正仿宋_GBK"/>
          <w:sz w:val="32"/>
          <w:szCs w:val="32"/>
        </w:rPr>
        <w:fldChar w:fldCharType="separate"/>
      </w:r>
      <w:r>
        <w:rPr>
          <w:rFonts w:eastAsia="方正仿宋_GBK"/>
          <w:sz w:val="32"/>
          <w:szCs w:val="32"/>
        </w:rPr>
        <w:t>57</w:t>
      </w:r>
      <w:r>
        <w:rPr>
          <w:rFonts w:eastAsia="方正仿宋_GBK"/>
          <w:sz w:val="32"/>
          <w:szCs w:val="32"/>
        </w:rPr>
        <w:fldChar w:fldCharType="end"/>
      </w:r>
      <w:r>
        <w:rPr>
          <w:rFonts w:eastAsia="方正仿宋_GBK"/>
          <w:sz w:val="32"/>
          <w:szCs w:val="32"/>
        </w:rPr>
        <w:fldChar w:fldCharType="end"/>
      </w:r>
    </w:p>
    <w:p w14:paraId="0DF38899">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"_Toc60466250" </w:instrText>
      </w:r>
      <w:r>
        <w:fldChar w:fldCharType="separate"/>
      </w:r>
      <w:r>
        <w:rPr>
          <w:rStyle w:val="15"/>
          <w:rFonts w:hint="eastAsia" w:ascii="Times New Roman" w:hAnsi="Times New Roman" w:eastAsia="方正楷体_GBK" w:cs="方正楷体_GBK"/>
          <w:sz w:val="32"/>
          <w:szCs w:val="32"/>
        </w:rPr>
        <w:t>第一节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新街口现代金融商务区</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_Toc60466250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57</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1FB28721">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"_Toc60466251" </w:instrText>
      </w:r>
      <w:r>
        <w:fldChar w:fldCharType="separate"/>
      </w:r>
      <w:r>
        <w:rPr>
          <w:rStyle w:val="15"/>
          <w:rFonts w:hint="eastAsia" w:ascii="Times New Roman" w:hAnsi="Times New Roman" w:eastAsia="方正楷体_GBK" w:cs="方正楷体_GBK"/>
          <w:sz w:val="32"/>
          <w:szCs w:val="32"/>
        </w:rPr>
        <w:t>第二节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老城南文旅商融合体验区</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_Toc60466251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58</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642CAEF6">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"_Toc60466252" </w:instrText>
      </w:r>
      <w:r>
        <w:fldChar w:fldCharType="separate"/>
      </w:r>
      <w:r>
        <w:rPr>
          <w:rStyle w:val="15"/>
          <w:rFonts w:hint="eastAsia" w:ascii="Times New Roman" w:hAnsi="Times New Roman" w:eastAsia="方正楷体_GBK" w:cs="方正楷体_GBK"/>
          <w:sz w:val="32"/>
          <w:szCs w:val="32"/>
        </w:rPr>
        <w:t>第三节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东部高新技术产业示范区</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_Toc60466252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59</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2EA0F402">
      <w:pPr>
        <w:pStyle w:val="6"/>
        <w:tabs>
          <w:tab w:val="right" w:leader="dot" w:pos="8834"/>
        </w:tabs>
        <w:ind w:left="31680"/>
        <w:rPr>
          <w:rFonts w:ascii="Times New Roman" w:hAnsi="Times New Roman" w:eastAsia="方正仿宋_GBK" w:cs="Times New Roman"/>
          <w:sz w:val="32"/>
          <w:szCs w:val="32"/>
        </w:rPr>
      </w:pPr>
      <w:r>
        <w:fldChar w:fldCharType="begin"/>
      </w:r>
      <w:r>
        <w:instrText xml:space="preserve"> HYPERLINK \l "_Toc60466253" </w:instrText>
      </w:r>
      <w:r>
        <w:fldChar w:fldCharType="separate"/>
      </w:r>
      <w:r>
        <w:rPr>
          <w:rStyle w:val="15"/>
          <w:rFonts w:hint="eastAsia" w:ascii="Times New Roman" w:hAnsi="Times New Roman" w:eastAsia="方正楷体_GBK" w:cs="方正楷体_GBK"/>
          <w:sz w:val="32"/>
          <w:szCs w:val="32"/>
        </w:rPr>
        <w:t>第四节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南部新城超级总部基地</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_Toc60466253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61</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5D5D2FAA">
      <w:pPr>
        <w:pStyle w:val="11"/>
        <w:tabs>
          <w:tab w:val="right" w:leader="dot" w:pos="8834"/>
        </w:tabs>
        <w:ind w:left="31680"/>
        <w:rPr>
          <w:rFonts w:eastAsia="方正仿宋_GBK"/>
          <w:sz w:val="32"/>
          <w:szCs w:val="32"/>
        </w:rPr>
      </w:pPr>
      <w:r>
        <w:fldChar w:fldCharType="begin"/>
      </w:r>
      <w:r>
        <w:instrText xml:space="preserve"> HYPERLINK \l "_Toc60466254" </w:instrText>
      </w:r>
      <w:r>
        <w:fldChar w:fldCharType="separate"/>
      </w:r>
      <w:r>
        <w:rPr>
          <w:rStyle w:val="15"/>
          <w:rFonts w:hint="eastAsia" w:eastAsia="方正仿宋_GBK" w:cs="方正仿宋_GBK"/>
          <w:sz w:val="32"/>
          <w:szCs w:val="32"/>
        </w:rPr>
        <w:t>第十三章</w:t>
      </w:r>
      <w:r>
        <w:rPr>
          <w:rStyle w:val="15"/>
          <w:rFonts w:eastAsia="方正仿宋_GBK"/>
          <w:sz w:val="32"/>
          <w:szCs w:val="32"/>
        </w:rPr>
        <w:t xml:space="preserve"> </w:t>
      </w:r>
      <w:r>
        <w:rPr>
          <w:rStyle w:val="15"/>
          <w:rFonts w:hint="eastAsia" w:eastAsia="方正仿宋_GBK" w:cs="方正仿宋_GBK"/>
          <w:sz w:val="32"/>
          <w:szCs w:val="32"/>
        </w:rPr>
        <w:t>打造沿秦淮河产城融合水岸示范带</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_Toc60466254 \h </w:instrText>
      </w:r>
      <w:r>
        <w:rPr>
          <w:rFonts w:eastAsia="方正仿宋_GBK"/>
          <w:sz w:val="32"/>
          <w:szCs w:val="32"/>
        </w:rPr>
        <w:fldChar w:fldCharType="separate"/>
      </w:r>
      <w:r>
        <w:rPr>
          <w:rFonts w:eastAsia="方正仿宋_GBK"/>
          <w:sz w:val="32"/>
          <w:szCs w:val="32"/>
        </w:rPr>
        <w:t>62</w:t>
      </w:r>
      <w:r>
        <w:rPr>
          <w:rFonts w:eastAsia="方正仿宋_GBK"/>
          <w:sz w:val="32"/>
          <w:szCs w:val="32"/>
        </w:rPr>
        <w:fldChar w:fldCharType="end"/>
      </w:r>
      <w:r>
        <w:rPr>
          <w:rFonts w:eastAsia="方正仿宋_GBK"/>
          <w:sz w:val="32"/>
          <w:szCs w:val="32"/>
        </w:rPr>
        <w:fldChar w:fldCharType="end"/>
      </w:r>
    </w:p>
    <w:p w14:paraId="436BCB78">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"_Toc60466255" </w:instrText>
      </w:r>
      <w:r>
        <w:fldChar w:fldCharType="separate"/>
      </w:r>
      <w:r>
        <w:rPr>
          <w:rStyle w:val="15"/>
          <w:rFonts w:hint="eastAsia" w:ascii="Times New Roman" w:hAnsi="Times New Roman" w:eastAsia="方正楷体_GBK" w:cs="方正楷体_GBK"/>
          <w:sz w:val="32"/>
          <w:szCs w:val="32"/>
        </w:rPr>
        <w:t>第一节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提升沿内秦淮河段落文旅商融合带</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_Toc60466255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62</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1A78DA04">
      <w:pPr>
        <w:pStyle w:val="6"/>
        <w:tabs>
          <w:tab w:val="right" w:leader="dot" w:pos="8834"/>
        </w:tabs>
        <w:ind w:left="31680"/>
        <w:rPr>
          <w:rFonts w:ascii="Times New Roman" w:hAnsi="Times New Roman" w:eastAsia="华文中宋" w:cs="Times New Roman"/>
          <w:sz w:val="32"/>
          <w:szCs w:val="32"/>
        </w:rPr>
      </w:pPr>
      <w:r>
        <w:fldChar w:fldCharType="begin"/>
      </w:r>
      <w:r>
        <w:instrText xml:space="preserve"> HYPERLINK \l "_Toc60466256" </w:instrText>
      </w:r>
      <w:r>
        <w:fldChar w:fldCharType="separate"/>
      </w:r>
      <w:r>
        <w:rPr>
          <w:rStyle w:val="15"/>
          <w:rFonts w:hint="eastAsia" w:ascii="Times New Roman" w:hAnsi="Times New Roman" w:eastAsia="方正楷体_GBK" w:cs="方正楷体_GBK"/>
          <w:sz w:val="32"/>
          <w:szCs w:val="32"/>
        </w:rPr>
        <w:t>第二节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打造沿外秦淮河段落“三生”复合空间水岸客厅</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_Toc60466256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63</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4A2CCEF6">
      <w:pPr>
        <w:pStyle w:val="9"/>
        <w:tabs>
          <w:tab w:val="right" w:leader="dot" w:pos="8834"/>
        </w:tabs>
        <w:rPr>
          <w:rFonts w:eastAsia="华文中宋"/>
          <w:sz w:val="32"/>
          <w:szCs w:val="32"/>
        </w:rPr>
      </w:pPr>
      <w:r>
        <w:fldChar w:fldCharType="begin"/>
      </w:r>
      <w:r>
        <w:instrText xml:space="preserve"> HYPERLINK \l "_Toc60466257" </w:instrText>
      </w:r>
      <w:r>
        <w:fldChar w:fldCharType="separate"/>
      </w:r>
      <w:r>
        <w:rPr>
          <w:rStyle w:val="15"/>
          <w:rFonts w:hint="eastAsia" w:eastAsia="方正黑体_GBK" w:cs="方正黑体_GBK"/>
          <w:sz w:val="32"/>
          <w:szCs w:val="32"/>
        </w:rPr>
        <w:t>第五篇</w:t>
      </w:r>
      <w:r>
        <w:rPr>
          <w:rStyle w:val="15"/>
          <w:rFonts w:eastAsia="方正黑体_GBK"/>
          <w:sz w:val="32"/>
          <w:szCs w:val="32"/>
        </w:rPr>
        <w:t xml:space="preserve"> </w:t>
      </w:r>
      <w:r>
        <w:rPr>
          <w:rStyle w:val="15"/>
          <w:rFonts w:hint="eastAsia" w:eastAsia="方正黑体_GBK" w:cs="方正黑体_GBK"/>
          <w:sz w:val="32"/>
          <w:szCs w:val="32"/>
        </w:rPr>
        <w:t>突出历史文化传承，协同文旅商创发展，展现秦淮风雅魅力新内涵</w:t>
      </w:r>
      <w:r>
        <w:rPr>
          <w:rFonts w:eastAsia="华文中宋"/>
          <w:sz w:val="32"/>
          <w:szCs w:val="32"/>
        </w:rPr>
        <w:tab/>
      </w:r>
      <w:r>
        <w:rPr>
          <w:rFonts w:eastAsia="华文中宋"/>
          <w:sz w:val="32"/>
          <w:szCs w:val="32"/>
        </w:rPr>
        <w:fldChar w:fldCharType="begin"/>
      </w:r>
      <w:r>
        <w:rPr>
          <w:rFonts w:eastAsia="华文中宋"/>
          <w:sz w:val="32"/>
          <w:szCs w:val="32"/>
        </w:rPr>
        <w:instrText xml:space="preserve"> PAGEREF _Toc60466257 \h </w:instrText>
      </w:r>
      <w:r>
        <w:rPr>
          <w:rFonts w:eastAsia="华文中宋"/>
          <w:sz w:val="32"/>
          <w:szCs w:val="32"/>
        </w:rPr>
        <w:fldChar w:fldCharType="separate"/>
      </w:r>
      <w:r>
        <w:rPr>
          <w:rFonts w:eastAsia="华文中宋"/>
          <w:sz w:val="32"/>
          <w:szCs w:val="32"/>
        </w:rPr>
        <w:t>64</w:t>
      </w:r>
      <w:r>
        <w:rPr>
          <w:rFonts w:eastAsia="华文中宋"/>
          <w:sz w:val="32"/>
          <w:szCs w:val="32"/>
        </w:rPr>
        <w:fldChar w:fldCharType="end"/>
      </w:r>
      <w:r>
        <w:rPr>
          <w:rFonts w:eastAsia="华文中宋"/>
          <w:sz w:val="32"/>
          <w:szCs w:val="32"/>
        </w:rPr>
        <w:fldChar w:fldCharType="end"/>
      </w:r>
    </w:p>
    <w:p w14:paraId="192F5E1F">
      <w:pPr>
        <w:pStyle w:val="11"/>
        <w:tabs>
          <w:tab w:val="right" w:leader="dot" w:pos="8834"/>
        </w:tabs>
        <w:ind w:left="31680"/>
        <w:rPr>
          <w:rFonts w:eastAsia="方正仿宋_GBK"/>
          <w:sz w:val="32"/>
          <w:szCs w:val="32"/>
        </w:rPr>
      </w:pPr>
      <w:r>
        <w:fldChar w:fldCharType="begin"/>
      </w:r>
      <w:r>
        <w:instrText xml:space="preserve"> HYPERLINK \l "_Toc60466258" </w:instrText>
      </w:r>
      <w:r>
        <w:fldChar w:fldCharType="separate"/>
      </w:r>
      <w:r>
        <w:rPr>
          <w:rStyle w:val="15"/>
          <w:rFonts w:hint="eastAsia" w:eastAsia="方正仿宋_GBK" w:cs="方正仿宋_GBK"/>
          <w:sz w:val="32"/>
          <w:szCs w:val="32"/>
        </w:rPr>
        <w:t>第十四章</w:t>
      </w:r>
      <w:r>
        <w:rPr>
          <w:rStyle w:val="15"/>
          <w:rFonts w:eastAsia="方正仿宋_GBK"/>
          <w:sz w:val="32"/>
          <w:szCs w:val="32"/>
        </w:rPr>
        <w:t xml:space="preserve"> </w:t>
      </w:r>
      <w:r>
        <w:rPr>
          <w:rStyle w:val="15"/>
          <w:rFonts w:hint="eastAsia" w:eastAsia="方正仿宋_GBK" w:cs="方正仿宋_GBK"/>
          <w:sz w:val="32"/>
          <w:szCs w:val="32"/>
        </w:rPr>
        <w:t>塑造风雅秦淮腔调</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_Toc60466258 \h </w:instrText>
      </w:r>
      <w:r>
        <w:rPr>
          <w:rFonts w:eastAsia="方正仿宋_GBK"/>
          <w:sz w:val="32"/>
          <w:szCs w:val="32"/>
        </w:rPr>
        <w:fldChar w:fldCharType="separate"/>
      </w:r>
      <w:r>
        <w:rPr>
          <w:rFonts w:eastAsia="方正仿宋_GBK"/>
          <w:sz w:val="32"/>
          <w:szCs w:val="32"/>
        </w:rPr>
        <w:t>64</w:t>
      </w:r>
      <w:r>
        <w:rPr>
          <w:rFonts w:eastAsia="方正仿宋_GBK"/>
          <w:sz w:val="32"/>
          <w:szCs w:val="32"/>
        </w:rPr>
        <w:fldChar w:fldCharType="end"/>
      </w:r>
      <w:r>
        <w:rPr>
          <w:rFonts w:eastAsia="方正仿宋_GBK"/>
          <w:sz w:val="32"/>
          <w:szCs w:val="32"/>
        </w:rPr>
        <w:fldChar w:fldCharType="end"/>
      </w:r>
    </w:p>
    <w:p w14:paraId="379D213C">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"_Toc60466259" </w:instrText>
      </w:r>
      <w:r>
        <w:fldChar w:fldCharType="separate"/>
      </w:r>
      <w:r>
        <w:rPr>
          <w:rStyle w:val="15"/>
          <w:rFonts w:hint="eastAsia" w:ascii="Times New Roman" w:hAnsi="Times New Roman" w:eastAsia="方正楷体_GBK" w:cs="方正楷体_GBK"/>
          <w:sz w:val="32"/>
          <w:szCs w:val="32"/>
        </w:rPr>
        <w:t>第一节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整体塑造文化基因</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_Toc60466259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64</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09755CC5">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"_Toc60466260" </w:instrText>
      </w:r>
      <w:r>
        <w:fldChar w:fldCharType="separate"/>
      </w:r>
      <w:r>
        <w:rPr>
          <w:rStyle w:val="15"/>
          <w:rFonts w:hint="eastAsia" w:ascii="Times New Roman" w:hAnsi="Times New Roman" w:eastAsia="方正楷体_GBK" w:cs="方正楷体_GBK"/>
          <w:sz w:val="32"/>
          <w:szCs w:val="32"/>
        </w:rPr>
        <w:t>第二节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整体保护文化资源</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_Toc60466260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65</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3BE0C0EC">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"_Toc60466261" </w:instrText>
      </w:r>
      <w:r>
        <w:fldChar w:fldCharType="separate"/>
      </w:r>
      <w:r>
        <w:rPr>
          <w:rStyle w:val="15"/>
          <w:rFonts w:hint="eastAsia" w:ascii="Times New Roman" w:hAnsi="Times New Roman" w:eastAsia="方正楷体_GBK" w:cs="方正楷体_GBK"/>
          <w:sz w:val="32"/>
          <w:szCs w:val="32"/>
        </w:rPr>
        <w:t>第三节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系统构建文化品牌</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_Toc60466261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65</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033718D0">
      <w:pPr>
        <w:pStyle w:val="6"/>
        <w:tabs>
          <w:tab w:val="right" w:leader="dot" w:pos="8834"/>
        </w:tabs>
        <w:ind w:left="31680"/>
        <w:rPr>
          <w:rFonts w:ascii="Times New Roman" w:hAnsi="Times New Roman" w:eastAsia="方正仿宋_GBK" w:cs="Times New Roman"/>
          <w:sz w:val="32"/>
          <w:szCs w:val="32"/>
        </w:rPr>
      </w:pPr>
      <w:r>
        <w:fldChar w:fldCharType="begin"/>
      </w:r>
      <w:r>
        <w:instrText xml:space="preserve"> HYPERLINK \l "_Toc60466262" </w:instrText>
      </w:r>
      <w:r>
        <w:fldChar w:fldCharType="separate"/>
      </w:r>
      <w:r>
        <w:rPr>
          <w:rStyle w:val="15"/>
          <w:rFonts w:hint="eastAsia" w:ascii="Times New Roman" w:hAnsi="Times New Roman" w:eastAsia="方正楷体_GBK" w:cs="方正楷体_GBK"/>
          <w:sz w:val="32"/>
          <w:szCs w:val="32"/>
        </w:rPr>
        <w:t>第四节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讲述传播秦淮故事</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_Toc60466262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66</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0F90496E">
      <w:pPr>
        <w:pStyle w:val="11"/>
        <w:tabs>
          <w:tab w:val="right" w:leader="dot" w:pos="8834"/>
        </w:tabs>
        <w:ind w:left="31680"/>
        <w:rPr>
          <w:rFonts w:eastAsia="方正仿宋_GBK"/>
          <w:sz w:val="32"/>
          <w:szCs w:val="32"/>
        </w:rPr>
      </w:pPr>
      <w:r>
        <w:fldChar w:fldCharType="begin"/>
      </w:r>
      <w:r>
        <w:instrText xml:space="preserve"> HYPERLINK \l "_Toc60466263" </w:instrText>
      </w:r>
      <w:r>
        <w:fldChar w:fldCharType="separate"/>
      </w:r>
      <w:r>
        <w:rPr>
          <w:rStyle w:val="15"/>
          <w:rFonts w:hint="eastAsia" w:eastAsia="方正仿宋_GBK" w:cs="方正仿宋_GBK"/>
          <w:sz w:val="32"/>
          <w:szCs w:val="32"/>
        </w:rPr>
        <w:t>第十五章</w:t>
      </w:r>
      <w:r>
        <w:rPr>
          <w:rStyle w:val="15"/>
          <w:rFonts w:eastAsia="方正仿宋_GBK"/>
          <w:sz w:val="32"/>
          <w:szCs w:val="32"/>
        </w:rPr>
        <w:t xml:space="preserve"> </w:t>
      </w:r>
      <w:r>
        <w:rPr>
          <w:rStyle w:val="15"/>
          <w:rFonts w:hint="eastAsia" w:eastAsia="方正仿宋_GBK" w:cs="方正仿宋_GBK"/>
          <w:sz w:val="32"/>
          <w:szCs w:val="32"/>
        </w:rPr>
        <w:t>推进文旅商融合发展</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_Toc60466263 \h </w:instrText>
      </w:r>
      <w:r>
        <w:rPr>
          <w:rFonts w:eastAsia="方正仿宋_GBK"/>
          <w:sz w:val="32"/>
          <w:szCs w:val="32"/>
        </w:rPr>
        <w:fldChar w:fldCharType="separate"/>
      </w:r>
      <w:r>
        <w:rPr>
          <w:rFonts w:eastAsia="方正仿宋_GBK"/>
          <w:sz w:val="32"/>
          <w:szCs w:val="32"/>
        </w:rPr>
        <w:t>66</w:t>
      </w:r>
      <w:r>
        <w:rPr>
          <w:rFonts w:eastAsia="方正仿宋_GBK"/>
          <w:sz w:val="32"/>
          <w:szCs w:val="32"/>
        </w:rPr>
        <w:fldChar w:fldCharType="end"/>
      </w:r>
      <w:r>
        <w:rPr>
          <w:rFonts w:eastAsia="方正仿宋_GBK"/>
          <w:sz w:val="32"/>
          <w:szCs w:val="32"/>
        </w:rPr>
        <w:fldChar w:fldCharType="end"/>
      </w:r>
    </w:p>
    <w:p w14:paraId="2A08577E">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"_Toc60466264" </w:instrText>
      </w:r>
      <w:r>
        <w:fldChar w:fldCharType="separate"/>
      </w:r>
      <w:r>
        <w:rPr>
          <w:rStyle w:val="15"/>
          <w:rFonts w:hint="eastAsia" w:ascii="Times New Roman" w:hAnsi="Times New Roman" w:eastAsia="方正楷体_GBK" w:cs="方正楷体_GBK"/>
          <w:sz w:val="32"/>
          <w:szCs w:val="32"/>
        </w:rPr>
        <w:t>第一节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构建全域一体格局</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_Toc60466264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66</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0CBD538C">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"_Toc60466265" </w:instrText>
      </w:r>
      <w:r>
        <w:fldChar w:fldCharType="separate"/>
      </w:r>
      <w:r>
        <w:rPr>
          <w:rStyle w:val="15"/>
          <w:rFonts w:hint="eastAsia" w:ascii="Times New Roman" w:hAnsi="Times New Roman" w:eastAsia="方正楷体_GBK" w:cs="方正楷体_GBK"/>
          <w:sz w:val="32"/>
          <w:szCs w:val="32"/>
        </w:rPr>
        <w:t>第二节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加快建设文化地标</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_Toc60466265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66</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7D116459">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"_Toc60466266" </w:instrText>
      </w:r>
      <w:r>
        <w:fldChar w:fldCharType="separate"/>
      </w:r>
      <w:r>
        <w:rPr>
          <w:rStyle w:val="15"/>
          <w:rFonts w:hint="eastAsia" w:ascii="Times New Roman" w:hAnsi="Times New Roman" w:eastAsia="方正楷体_GBK" w:cs="方正楷体_GBK"/>
          <w:sz w:val="32"/>
          <w:szCs w:val="32"/>
        </w:rPr>
        <w:t>第三节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策划实施融合项目</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_Toc60466266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67</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254B817D">
      <w:pPr>
        <w:pStyle w:val="6"/>
        <w:tabs>
          <w:tab w:val="right" w:leader="dot" w:pos="8834"/>
        </w:tabs>
        <w:ind w:left="31680"/>
        <w:rPr>
          <w:rFonts w:ascii="Times New Roman" w:hAnsi="Times New Roman" w:eastAsia="方正仿宋_GBK" w:cs="Times New Roman"/>
          <w:sz w:val="32"/>
          <w:szCs w:val="32"/>
        </w:rPr>
      </w:pPr>
      <w:r>
        <w:fldChar w:fldCharType="begin"/>
      </w:r>
      <w:r>
        <w:instrText xml:space="preserve"> HYPERLINK \l "_Toc60466267" </w:instrText>
      </w:r>
      <w:r>
        <w:fldChar w:fldCharType="separate"/>
      </w:r>
      <w:r>
        <w:rPr>
          <w:rStyle w:val="15"/>
          <w:rFonts w:hint="eastAsia" w:ascii="Times New Roman" w:hAnsi="Times New Roman" w:eastAsia="方正楷体_GBK" w:cs="方正楷体_GBK"/>
          <w:sz w:val="32"/>
          <w:szCs w:val="32"/>
        </w:rPr>
        <w:t>第四节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集聚新型场景业态</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_Toc60466267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67</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1384CC50">
      <w:pPr>
        <w:pStyle w:val="11"/>
        <w:tabs>
          <w:tab w:val="right" w:leader="dot" w:pos="8834"/>
        </w:tabs>
        <w:ind w:left="31680"/>
        <w:rPr>
          <w:rFonts w:eastAsia="方正仿宋_GBK"/>
          <w:sz w:val="32"/>
          <w:szCs w:val="32"/>
        </w:rPr>
      </w:pPr>
      <w:r>
        <w:fldChar w:fldCharType="begin"/>
      </w:r>
      <w:r>
        <w:instrText xml:space="preserve"> HYPERLINK \l "_Toc60466268" </w:instrText>
      </w:r>
      <w:r>
        <w:fldChar w:fldCharType="separate"/>
      </w:r>
      <w:r>
        <w:rPr>
          <w:rStyle w:val="15"/>
          <w:rFonts w:hint="eastAsia" w:eastAsia="方正仿宋_GBK" w:cs="方正仿宋_GBK"/>
          <w:sz w:val="32"/>
          <w:szCs w:val="32"/>
        </w:rPr>
        <w:t>第十六章</w:t>
      </w:r>
      <w:r>
        <w:rPr>
          <w:rStyle w:val="15"/>
          <w:rFonts w:eastAsia="方正仿宋_GBK"/>
          <w:sz w:val="32"/>
          <w:szCs w:val="32"/>
        </w:rPr>
        <w:t xml:space="preserve"> </w:t>
      </w:r>
      <w:r>
        <w:rPr>
          <w:rStyle w:val="15"/>
          <w:rFonts w:hint="eastAsia" w:eastAsia="方正仿宋_GBK" w:cs="方正仿宋_GBK"/>
          <w:sz w:val="32"/>
          <w:szCs w:val="32"/>
        </w:rPr>
        <w:t>切实推进区域文明程度提升</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_Toc60466268 \h </w:instrText>
      </w:r>
      <w:r>
        <w:rPr>
          <w:rFonts w:eastAsia="方正仿宋_GBK"/>
          <w:sz w:val="32"/>
          <w:szCs w:val="32"/>
        </w:rPr>
        <w:fldChar w:fldCharType="separate"/>
      </w:r>
      <w:r>
        <w:rPr>
          <w:rFonts w:eastAsia="方正仿宋_GBK"/>
          <w:sz w:val="32"/>
          <w:szCs w:val="32"/>
        </w:rPr>
        <w:t>69</w:t>
      </w:r>
      <w:r>
        <w:rPr>
          <w:rFonts w:eastAsia="方正仿宋_GBK"/>
          <w:sz w:val="32"/>
          <w:szCs w:val="32"/>
        </w:rPr>
        <w:fldChar w:fldCharType="end"/>
      </w:r>
      <w:r>
        <w:rPr>
          <w:rFonts w:eastAsia="方正仿宋_GBK"/>
          <w:sz w:val="32"/>
          <w:szCs w:val="32"/>
        </w:rPr>
        <w:fldChar w:fldCharType="end"/>
      </w:r>
    </w:p>
    <w:p w14:paraId="2FC5258B">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"_Toc60466269" </w:instrText>
      </w:r>
      <w:r>
        <w:fldChar w:fldCharType="separate"/>
      </w:r>
      <w:r>
        <w:rPr>
          <w:rStyle w:val="15"/>
          <w:rFonts w:hint="eastAsia" w:ascii="Times New Roman" w:hAnsi="Times New Roman" w:eastAsia="方正楷体_GBK" w:cs="方正楷体_GBK"/>
          <w:sz w:val="32"/>
          <w:szCs w:val="32"/>
        </w:rPr>
        <w:t>第一节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深化文化滴灌工程</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_Toc60466269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69</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1F9808C3">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"_Toc60466270" </w:instrText>
      </w:r>
      <w:r>
        <w:fldChar w:fldCharType="separate"/>
      </w:r>
      <w:r>
        <w:rPr>
          <w:rStyle w:val="15"/>
          <w:rFonts w:hint="eastAsia" w:ascii="Times New Roman" w:hAnsi="Times New Roman" w:eastAsia="方正楷体_GBK" w:cs="方正楷体_GBK"/>
          <w:sz w:val="32"/>
          <w:szCs w:val="32"/>
        </w:rPr>
        <w:t>第二节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推进文明城市创建</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_Toc60466270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69</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6C776D4F">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"_Toc60466271" </w:instrText>
      </w:r>
      <w:r>
        <w:fldChar w:fldCharType="separate"/>
      </w:r>
      <w:r>
        <w:rPr>
          <w:rStyle w:val="15"/>
          <w:rFonts w:hint="eastAsia" w:ascii="Times New Roman" w:hAnsi="Times New Roman" w:eastAsia="方正楷体_GBK" w:cs="方正楷体_GBK"/>
          <w:sz w:val="32"/>
          <w:szCs w:val="32"/>
        </w:rPr>
        <w:t>第三节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深化道德典型选树</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_Toc60466271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70</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6566723D">
      <w:pPr>
        <w:pStyle w:val="6"/>
        <w:tabs>
          <w:tab w:val="right" w:leader="dot" w:pos="8834"/>
        </w:tabs>
        <w:ind w:left="31680"/>
        <w:rPr>
          <w:rFonts w:ascii="Times New Roman" w:hAnsi="Times New Roman" w:eastAsia="华文中宋" w:cs="Times New Roman"/>
          <w:sz w:val="32"/>
          <w:szCs w:val="32"/>
        </w:rPr>
      </w:pPr>
      <w:r>
        <w:fldChar w:fldCharType="begin"/>
      </w:r>
      <w:r>
        <w:instrText xml:space="preserve"> HYPERLINK \l "_Toc60466272" </w:instrText>
      </w:r>
      <w:r>
        <w:fldChar w:fldCharType="separate"/>
      </w:r>
      <w:r>
        <w:rPr>
          <w:rStyle w:val="15"/>
          <w:rFonts w:hint="eastAsia" w:ascii="Times New Roman" w:hAnsi="Times New Roman" w:eastAsia="方正楷体_GBK" w:cs="方正楷体_GBK"/>
          <w:sz w:val="32"/>
          <w:szCs w:val="32"/>
        </w:rPr>
        <w:t>第四节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提升志愿服务成效</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_Toc60466272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70</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10069CF2">
      <w:pPr>
        <w:pStyle w:val="9"/>
        <w:tabs>
          <w:tab w:val="right" w:leader="dot" w:pos="8834"/>
        </w:tabs>
        <w:rPr>
          <w:rFonts w:eastAsia="华文中宋"/>
          <w:sz w:val="32"/>
          <w:szCs w:val="32"/>
        </w:rPr>
      </w:pPr>
      <w:r>
        <w:fldChar w:fldCharType="begin"/>
      </w:r>
      <w:r>
        <w:instrText xml:space="preserve"> HYPERLINK \l "_Toc60466273" </w:instrText>
      </w:r>
      <w:r>
        <w:fldChar w:fldCharType="separate"/>
      </w:r>
      <w:r>
        <w:rPr>
          <w:rStyle w:val="15"/>
          <w:rFonts w:hint="eastAsia" w:eastAsia="方正黑体_GBK" w:cs="方正黑体_GBK"/>
          <w:sz w:val="32"/>
          <w:szCs w:val="32"/>
        </w:rPr>
        <w:t>第六篇</w:t>
      </w:r>
      <w:r>
        <w:rPr>
          <w:rStyle w:val="15"/>
          <w:rFonts w:eastAsia="方正黑体_GBK"/>
          <w:sz w:val="32"/>
          <w:szCs w:val="32"/>
        </w:rPr>
        <w:t xml:space="preserve"> </w:t>
      </w:r>
      <w:r>
        <w:rPr>
          <w:rStyle w:val="15"/>
          <w:rFonts w:hint="eastAsia" w:eastAsia="方正黑体_GBK" w:cs="方正黑体_GBK"/>
          <w:sz w:val="32"/>
          <w:szCs w:val="32"/>
        </w:rPr>
        <w:t>彰显老城新城风貌，精细城市建设管理，优化美丽秦淮人居新体验</w:t>
      </w:r>
      <w:r>
        <w:rPr>
          <w:rFonts w:eastAsia="华文中宋"/>
          <w:sz w:val="32"/>
          <w:szCs w:val="32"/>
        </w:rPr>
        <w:tab/>
      </w:r>
      <w:r>
        <w:rPr>
          <w:rFonts w:eastAsia="华文中宋"/>
          <w:sz w:val="32"/>
          <w:szCs w:val="32"/>
        </w:rPr>
        <w:fldChar w:fldCharType="begin"/>
      </w:r>
      <w:r>
        <w:rPr>
          <w:rFonts w:eastAsia="华文中宋"/>
          <w:sz w:val="32"/>
          <w:szCs w:val="32"/>
        </w:rPr>
        <w:instrText xml:space="preserve"> PAGEREF _Toc60466273 \h </w:instrText>
      </w:r>
      <w:r>
        <w:rPr>
          <w:rFonts w:eastAsia="华文中宋"/>
          <w:sz w:val="32"/>
          <w:szCs w:val="32"/>
        </w:rPr>
        <w:fldChar w:fldCharType="separate"/>
      </w:r>
      <w:r>
        <w:rPr>
          <w:rFonts w:eastAsia="华文中宋"/>
          <w:sz w:val="32"/>
          <w:szCs w:val="32"/>
        </w:rPr>
        <w:t>71</w:t>
      </w:r>
      <w:r>
        <w:rPr>
          <w:rFonts w:eastAsia="华文中宋"/>
          <w:sz w:val="32"/>
          <w:szCs w:val="32"/>
        </w:rPr>
        <w:fldChar w:fldCharType="end"/>
      </w:r>
      <w:r>
        <w:rPr>
          <w:rFonts w:eastAsia="华文中宋"/>
          <w:sz w:val="32"/>
          <w:szCs w:val="32"/>
        </w:rPr>
        <w:fldChar w:fldCharType="end"/>
      </w:r>
    </w:p>
    <w:p w14:paraId="66E47F6B">
      <w:pPr>
        <w:pStyle w:val="11"/>
        <w:tabs>
          <w:tab w:val="right" w:leader="dot" w:pos="8834"/>
        </w:tabs>
        <w:ind w:left="31680"/>
        <w:rPr>
          <w:rFonts w:eastAsia="方正仿宋_GBK"/>
          <w:sz w:val="32"/>
          <w:szCs w:val="32"/>
        </w:rPr>
      </w:pPr>
      <w:r>
        <w:fldChar w:fldCharType="begin"/>
      </w:r>
      <w:r>
        <w:instrText xml:space="preserve"> HYPERLINK \l "_Toc60466274" </w:instrText>
      </w:r>
      <w:r>
        <w:fldChar w:fldCharType="separate"/>
      </w:r>
      <w:r>
        <w:rPr>
          <w:rStyle w:val="15"/>
          <w:rFonts w:hint="eastAsia" w:eastAsia="方正仿宋_GBK" w:cs="方正仿宋_GBK"/>
          <w:sz w:val="32"/>
          <w:szCs w:val="32"/>
        </w:rPr>
        <w:t>第十七章</w:t>
      </w:r>
      <w:r>
        <w:rPr>
          <w:rStyle w:val="15"/>
          <w:rFonts w:eastAsia="方正仿宋_GBK"/>
          <w:sz w:val="32"/>
          <w:szCs w:val="32"/>
        </w:rPr>
        <w:t xml:space="preserve"> </w:t>
      </w:r>
      <w:r>
        <w:rPr>
          <w:rStyle w:val="15"/>
          <w:rFonts w:hint="eastAsia" w:eastAsia="方正仿宋_GBK" w:cs="方正仿宋_GBK"/>
          <w:sz w:val="32"/>
          <w:szCs w:val="32"/>
        </w:rPr>
        <w:t>凸显老城新城建设风貌</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_Toc60466274 \h </w:instrText>
      </w:r>
      <w:r>
        <w:rPr>
          <w:rFonts w:eastAsia="方正仿宋_GBK"/>
          <w:sz w:val="32"/>
          <w:szCs w:val="32"/>
        </w:rPr>
        <w:fldChar w:fldCharType="separate"/>
      </w:r>
      <w:r>
        <w:rPr>
          <w:rFonts w:eastAsia="方正仿宋_GBK"/>
          <w:sz w:val="32"/>
          <w:szCs w:val="32"/>
        </w:rPr>
        <w:t>71</w:t>
      </w:r>
      <w:r>
        <w:rPr>
          <w:rFonts w:eastAsia="方正仿宋_GBK"/>
          <w:sz w:val="32"/>
          <w:szCs w:val="32"/>
        </w:rPr>
        <w:fldChar w:fldCharType="end"/>
      </w:r>
      <w:r>
        <w:rPr>
          <w:rFonts w:eastAsia="方正仿宋_GBK"/>
          <w:sz w:val="32"/>
          <w:szCs w:val="32"/>
        </w:rPr>
        <w:fldChar w:fldCharType="end"/>
      </w:r>
    </w:p>
    <w:p w14:paraId="060215AB">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"_Toc60466275" </w:instrText>
      </w:r>
      <w:r>
        <w:fldChar w:fldCharType="separate"/>
      </w:r>
      <w:r>
        <w:rPr>
          <w:rStyle w:val="15"/>
          <w:rFonts w:hint="eastAsia" w:ascii="Times New Roman" w:hAnsi="Times New Roman" w:eastAsia="方正楷体_GBK" w:cs="方正楷体_GBK"/>
          <w:sz w:val="32"/>
          <w:szCs w:val="32"/>
        </w:rPr>
        <w:t>第一节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展现老城历史人文风貌</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_Toc60466275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71</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3DB2D3A5">
      <w:pPr>
        <w:pStyle w:val="6"/>
        <w:tabs>
          <w:tab w:val="right" w:leader="dot" w:pos="8834"/>
        </w:tabs>
        <w:ind w:left="31680"/>
        <w:rPr>
          <w:rFonts w:ascii="Times New Roman" w:hAnsi="Times New Roman" w:eastAsia="方正仿宋_GBK" w:cs="Times New Roman"/>
          <w:sz w:val="32"/>
          <w:szCs w:val="32"/>
        </w:rPr>
      </w:pPr>
      <w:r>
        <w:fldChar w:fldCharType="begin"/>
      </w:r>
      <w:r>
        <w:instrText xml:space="preserve"> HYPERLINK \l "_Toc60466276" </w:instrText>
      </w:r>
      <w:r>
        <w:fldChar w:fldCharType="separate"/>
      </w:r>
      <w:r>
        <w:rPr>
          <w:rStyle w:val="15"/>
          <w:rFonts w:hint="eastAsia" w:ascii="Times New Roman" w:hAnsi="Times New Roman" w:eastAsia="方正楷体_GBK" w:cs="方正楷体_GBK"/>
          <w:sz w:val="32"/>
          <w:szCs w:val="32"/>
        </w:rPr>
        <w:t>第二节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呈现新城现代未来愿景</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_Toc60466276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72</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2A79BD97">
      <w:pPr>
        <w:pStyle w:val="11"/>
        <w:tabs>
          <w:tab w:val="right" w:leader="dot" w:pos="8834"/>
        </w:tabs>
        <w:ind w:left="31680"/>
        <w:rPr>
          <w:rFonts w:eastAsia="方正仿宋_GBK"/>
          <w:sz w:val="32"/>
          <w:szCs w:val="32"/>
        </w:rPr>
      </w:pPr>
      <w:r>
        <w:fldChar w:fldCharType="begin"/>
      </w:r>
      <w:r>
        <w:instrText xml:space="preserve"> HYPERLINK \l "_Toc60466277" </w:instrText>
      </w:r>
      <w:r>
        <w:fldChar w:fldCharType="separate"/>
      </w:r>
      <w:r>
        <w:rPr>
          <w:rStyle w:val="15"/>
          <w:rFonts w:hint="eastAsia" w:eastAsia="方正仿宋_GBK" w:cs="方正仿宋_GBK"/>
          <w:sz w:val="32"/>
          <w:szCs w:val="32"/>
        </w:rPr>
        <w:t>第十八章</w:t>
      </w:r>
      <w:r>
        <w:rPr>
          <w:rStyle w:val="15"/>
          <w:rFonts w:eastAsia="方正仿宋_GBK"/>
          <w:sz w:val="32"/>
          <w:szCs w:val="32"/>
        </w:rPr>
        <w:t xml:space="preserve"> </w:t>
      </w:r>
      <w:r>
        <w:rPr>
          <w:rStyle w:val="15"/>
          <w:rFonts w:hint="eastAsia" w:eastAsia="方正仿宋_GBK" w:cs="方正仿宋_GBK"/>
          <w:sz w:val="32"/>
          <w:szCs w:val="32"/>
        </w:rPr>
        <w:t>持续提升生态环境质量</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_Toc60466277 \h </w:instrText>
      </w:r>
      <w:r>
        <w:rPr>
          <w:rFonts w:eastAsia="方正仿宋_GBK"/>
          <w:sz w:val="32"/>
          <w:szCs w:val="32"/>
        </w:rPr>
        <w:fldChar w:fldCharType="separate"/>
      </w:r>
      <w:r>
        <w:rPr>
          <w:rFonts w:eastAsia="方正仿宋_GBK"/>
          <w:sz w:val="32"/>
          <w:szCs w:val="32"/>
        </w:rPr>
        <w:t>73</w:t>
      </w:r>
      <w:r>
        <w:rPr>
          <w:rFonts w:eastAsia="方正仿宋_GBK"/>
          <w:sz w:val="32"/>
          <w:szCs w:val="32"/>
        </w:rPr>
        <w:fldChar w:fldCharType="end"/>
      </w:r>
      <w:r>
        <w:rPr>
          <w:rFonts w:eastAsia="方正仿宋_GBK"/>
          <w:sz w:val="32"/>
          <w:szCs w:val="32"/>
        </w:rPr>
        <w:fldChar w:fldCharType="end"/>
      </w:r>
    </w:p>
    <w:p w14:paraId="3D2D602D">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"_Toc60466278" </w:instrText>
      </w:r>
      <w:r>
        <w:fldChar w:fldCharType="separate"/>
      </w:r>
      <w:r>
        <w:rPr>
          <w:rStyle w:val="15"/>
          <w:rFonts w:hint="eastAsia" w:ascii="Times New Roman" w:hAnsi="Times New Roman" w:eastAsia="方正楷体_GBK" w:cs="方正楷体_GBK"/>
          <w:sz w:val="32"/>
          <w:szCs w:val="32"/>
        </w:rPr>
        <w:t>第一节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持续改善大气环境质量</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_Toc60466278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73</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7BA6FB85">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"_Toc60466279" </w:instrText>
      </w:r>
      <w:r>
        <w:fldChar w:fldCharType="separate"/>
      </w:r>
      <w:r>
        <w:rPr>
          <w:rStyle w:val="15"/>
          <w:rFonts w:hint="eastAsia" w:ascii="Times New Roman" w:hAnsi="Times New Roman" w:eastAsia="方正楷体_GBK" w:cs="方正楷体_GBK"/>
          <w:sz w:val="32"/>
          <w:szCs w:val="32"/>
        </w:rPr>
        <w:t>第二节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加快推进美丽河湖建设</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_Toc60466279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74</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110EF42F">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"_Toc60466280" </w:instrText>
      </w:r>
      <w:r>
        <w:fldChar w:fldCharType="separate"/>
      </w:r>
      <w:r>
        <w:rPr>
          <w:rStyle w:val="15"/>
          <w:rFonts w:hint="eastAsia" w:ascii="Times New Roman" w:hAnsi="Times New Roman" w:eastAsia="方正楷体_GBK" w:cs="方正楷体_GBK"/>
          <w:sz w:val="32"/>
          <w:szCs w:val="32"/>
        </w:rPr>
        <w:t>第三节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全面做好垃圾分类管理</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_Toc60466280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75</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5F2F6CD2">
      <w:pPr>
        <w:pStyle w:val="6"/>
        <w:tabs>
          <w:tab w:val="right" w:leader="dot" w:pos="8834"/>
        </w:tabs>
        <w:ind w:left="31680"/>
        <w:rPr>
          <w:rFonts w:ascii="Times New Roman" w:hAnsi="Times New Roman" w:eastAsia="方正仿宋_GBK" w:cs="Times New Roman"/>
          <w:sz w:val="32"/>
          <w:szCs w:val="32"/>
        </w:rPr>
      </w:pPr>
      <w:r>
        <w:fldChar w:fldCharType="begin"/>
      </w:r>
      <w:r>
        <w:instrText xml:space="preserve"> HYPERLINK \l "_Toc60466281" </w:instrText>
      </w:r>
      <w:r>
        <w:fldChar w:fldCharType="separate"/>
      </w:r>
      <w:r>
        <w:rPr>
          <w:rStyle w:val="15"/>
          <w:rFonts w:hint="eastAsia" w:ascii="Times New Roman" w:hAnsi="Times New Roman" w:eastAsia="方正楷体_GBK" w:cs="方正楷体_GBK"/>
          <w:sz w:val="32"/>
          <w:szCs w:val="32"/>
        </w:rPr>
        <w:t>第四节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系统完善生态文明治理</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_Toc60466281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76</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2D1547CD">
      <w:pPr>
        <w:pStyle w:val="11"/>
        <w:tabs>
          <w:tab w:val="right" w:leader="dot" w:pos="8834"/>
        </w:tabs>
        <w:ind w:left="31680"/>
        <w:rPr>
          <w:rFonts w:eastAsia="方正仿宋_GBK"/>
          <w:sz w:val="32"/>
          <w:szCs w:val="32"/>
        </w:rPr>
      </w:pPr>
      <w:r>
        <w:fldChar w:fldCharType="begin"/>
      </w:r>
      <w:r>
        <w:instrText xml:space="preserve"> HYPERLINK \l "_Toc60466282" </w:instrText>
      </w:r>
      <w:r>
        <w:fldChar w:fldCharType="separate"/>
      </w:r>
      <w:r>
        <w:rPr>
          <w:rStyle w:val="15"/>
          <w:rFonts w:hint="eastAsia" w:eastAsia="方正仿宋_GBK" w:cs="方正仿宋_GBK"/>
          <w:sz w:val="32"/>
          <w:szCs w:val="32"/>
        </w:rPr>
        <w:t>第十九章</w:t>
      </w:r>
      <w:r>
        <w:rPr>
          <w:rStyle w:val="15"/>
          <w:rFonts w:eastAsia="方正仿宋_GBK"/>
          <w:sz w:val="32"/>
          <w:szCs w:val="32"/>
        </w:rPr>
        <w:t xml:space="preserve"> </w:t>
      </w:r>
      <w:r>
        <w:rPr>
          <w:rStyle w:val="15"/>
          <w:rFonts w:hint="eastAsia" w:eastAsia="方正仿宋_GBK" w:cs="方正仿宋_GBK"/>
          <w:sz w:val="32"/>
          <w:szCs w:val="32"/>
        </w:rPr>
        <w:t>加强城市精细化管理</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_Toc60466282 \h </w:instrText>
      </w:r>
      <w:r>
        <w:rPr>
          <w:rFonts w:eastAsia="方正仿宋_GBK"/>
          <w:sz w:val="32"/>
          <w:szCs w:val="32"/>
        </w:rPr>
        <w:fldChar w:fldCharType="separate"/>
      </w:r>
      <w:r>
        <w:rPr>
          <w:rFonts w:eastAsia="方正仿宋_GBK"/>
          <w:sz w:val="32"/>
          <w:szCs w:val="32"/>
        </w:rPr>
        <w:t>76</w:t>
      </w:r>
      <w:r>
        <w:rPr>
          <w:rFonts w:eastAsia="方正仿宋_GBK"/>
          <w:sz w:val="32"/>
          <w:szCs w:val="32"/>
        </w:rPr>
        <w:fldChar w:fldCharType="end"/>
      </w:r>
      <w:r>
        <w:rPr>
          <w:rFonts w:eastAsia="方正仿宋_GBK"/>
          <w:sz w:val="32"/>
          <w:szCs w:val="32"/>
        </w:rPr>
        <w:fldChar w:fldCharType="end"/>
      </w:r>
    </w:p>
    <w:p w14:paraId="4668D67C">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"_Toc60466283" </w:instrText>
      </w:r>
      <w:r>
        <w:fldChar w:fldCharType="separate"/>
      </w:r>
      <w:r>
        <w:rPr>
          <w:rStyle w:val="15"/>
          <w:rFonts w:hint="eastAsia" w:ascii="Times New Roman" w:hAnsi="Times New Roman" w:eastAsia="方正楷体_GBK" w:cs="方正楷体_GBK"/>
          <w:sz w:val="32"/>
          <w:szCs w:val="32"/>
        </w:rPr>
        <w:t>第一节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全力建设美丽街区</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_Toc60466283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76</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4F1D40C3">
      <w:pPr>
        <w:pStyle w:val="6"/>
        <w:tabs>
          <w:tab w:val="right" w:leader="dot" w:pos="8834"/>
        </w:tabs>
        <w:ind w:left="31680"/>
        <w:rPr>
          <w:rFonts w:ascii="Times New Roman" w:hAnsi="Times New Roman" w:eastAsia="华文中宋" w:cs="Times New Roman"/>
          <w:sz w:val="32"/>
          <w:szCs w:val="32"/>
        </w:rPr>
      </w:pPr>
      <w:r>
        <w:fldChar w:fldCharType="begin"/>
      </w:r>
      <w:r>
        <w:instrText xml:space="preserve"> HYPERLINK \l "_Toc60466284" </w:instrText>
      </w:r>
      <w:r>
        <w:fldChar w:fldCharType="separate"/>
      </w:r>
      <w:r>
        <w:rPr>
          <w:rStyle w:val="15"/>
          <w:rFonts w:hint="eastAsia" w:ascii="Times New Roman" w:hAnsi="Times New Roman" w:eastAsia="方正楷体_GBK" w:cs="方正楷体_GBK"/>
          <w:sz w:val="32"/>
          <w:szCs w:val="32"/>
        </w:rPr>
        <w:t>第二节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合力建设美丽家园</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_Toc60466284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77</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0E876234">
      <w:pPr>
        <w:pStyle w:val="9"/>
        <w:tabs>
          <w:tab w:val="right" w:leader="dot" w:pos="8834"/>
        </w:tabs>
        <w:rPr>
          <w:rFonts w:eastAsia="华文中宋"/>
          <w:sz w:val="32"/>
          <w:szCs w:val="32"/>
        </w:rPr>
      </w:pPr>
      <w:r>
        <w:fldChar w:fldCharType="begin"/>
      </w:r>
      <w:r>
        <w:instrText xml:space="preserve"> HYPERLINK \l "_Toc60466285" </w:instrText>
      </w:r>
      <w:r>
        <w:fldChar w:fldCharType="separate"/>
      </w:r>
      <w:r>
        <w:rPr>
          <w:rStyle w:val="15"/>
          <w:rFonts w:hint="eastAsia" w:eastAsia="方正黑体_GBK" w:cs="方正黑体_GBK"/>
          <w:kern w:val="44"/>
          <w:sz w:val="32"/>
          <w:szCs w:val="32"/>
        </w:rPr>
        <w:t>第七篇</w:t>
      </w:r>
      <w:r>
        <w:rPr>
          <w:rStyle w:val="15"/>
          <w:rFonts w:eastAsia="方正黑体_GBK"/>
          <w:kern w:val="44"/>
          <w:sz w:val="32"/>
          <w:szCs w:val="32"/>
        </w:rPr>
        <w:t xml:space="preserve"> </w:t>
      </w:r>
      <w:r>
        <w:rPr>
          <w:rStyle w:val="15"/>
          <w:rFonts w:hint="eastAsia" w:eastAsia="方正黑体_GBK" w:cs="方正黑体_GBK"/>
          <w:kern w:val="44"/>
          <w:sz w:val="32"/>
          <w:szCs w:val="32"/>
        </w:rPr>
        <w:t>提升民生服务质量，坚持共同富裕方向，增添上善秦淮服务新温度</w:t>
      </w:r>
      <w:r>
        <w:rPr>
          <w:rFonts w:eastAsia="华文中宋"/>
          <w:sz w:val="32"/>
          <w:szCs w:val="32"/>
        </w:rPr>
        <w:tab/>
      </w:r>
      <w:r>
        <w:rPr>
          <w:rFonts w:eastAsia="华文中宋"/>
          <w:sz w:val="32"/>
          <w:szCs w:val="32"/>
        </w:rPr>
        <w:fldChar w:fldCharType="begin"/>
      </w:r>
      <w:r>
        <w:rPr>
          <w:rFonts w:eastAsia="华文中宋"/>
          <w:sz w:val="32"/>
          <w:szCs w:val="32"/>
        </w:rPr>
        <w:instrText xml:space="preserve"> PAGEREF _Toc60466285 \h </w:instrText>
      </w:r>
      <w:r>
        <w:rPr>
          <w:rFonts w:eastAsia="华文中宋"/>
          <w:sz w:val="32"/>
          <w:szCs w:val="32"/>
        </w:rPr>
        <w:fldChar w:fldCharType="separate"/>
      </w:r>
      <w:r>
        <w:rPr>
          <w:rFonts w:eastAsia="华文中宋"/>
          <w:sz w:val="32"/>
          <w:szCs w:val="32"/>
        </w:rPr>
        <w:t>78</w:t>
      </w:r>
      <w:r>
        <w:rPr>
          <w:rFonts w:eastAsia="华文中宋"/>
          <w:sz w:val="32"/>
          <w:szCs w:val="32"/>
        </w:rPr>
        <w:fldChar w:fldCharType="end"/>
      </w:r>
      <w:r>
        <w:rPr>
          <w:rFonts w:eastAsia="华文中宋"/>
          <w:sz w:val="32"/>
          <w:szCs w:val="32"/>
        </w:rPr>
        <w:fldChar w:fldCharType="end"/>
      </w:r>
    </w:p>
    <w:p w14:paraId="7B440CD7">
      <w:pPr>
        <w:pStyle w:val="11"/>
        <w:tabs>
          <w:tab w:val="right" w:leader="dot" w:pos="8834"/>
        </w:tabs>
        <w:ind w:left="31680"/>
        <w:rPr>
          <w:rFonts w:eastAsia="方正仿宋_GBK"/>
          <w:sz w:val="32"/>
          <w:szCs w:val="32"/>
        </w:rPr>
      </w:pPr>
      <w:r>
        <w:fldChar w:fldCharType="begin"/>
      </w:r>
      <w:r>
        <w:instrText xml:space="preserve"> HYPERLINK \l "_Toc60466286" </w:instrText>
      </w:r>
      <w:r>
        <w:fldChar w:fldCharType="separate"/>
      </w:r>
      <w:r>
        <w:rPr>
          <w:rStyle w:val="15"/>
          <w:rFonts w:hint="eastAsia" w:eastAsia="方正仿宋_GBK" w:cs="方正仿宋_GBK"/>
          <w:sz w:val="32"/>
          <w:szCs w:val="32"/>
        </w:rPr>
        <w:t>第二十章</w:t>
      </w:r>
      <w:r>
        <w:rPr>
          <w:rStyle w:val="15"/>
          <w:rFonts w:eastAsia="方正仿宋_GBK"/>
          <w:sz w:val="32"/>
          <w:szCs w:val="32"/>
        </w:rPr>
        <w:t xml:space="preserve"> </w:t>
      </w:r>
      <w:r>
        <w:rPr>
          <w:rStyle w:val="15"/>
          <w:rFonts w:hint="eastAsia" w:eastAsia="方正仿宋_GBK" w:cs="方正仿宋_GBK"/>
          <w:sz w:val="32"/>
          <w:szCs w:val="32"/>
        </w:rPr>
        <w:t>优化民生公共服务供给</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_Toc60466286 \h </w:instrText>
      </w:r>
      <w:r>
        <w:rPr>
          <w:rFonts w:eastAsia="方正仿宋_GBK"/>
          <w:sz w:val="32"/>
          <w:szCs w:val="32"/>
        </w:rPr>
        <w:fldChar w:fldCharType="separate"/>
      </w:r>
      <w:r>
        <w:rPr>
          <w:rFonts w:eastAsia="方正仿宋_GBK"/>
          <w:sz w:val="32"/>
          <w:szCs w:val="32"/>
        </w:rPr>
        <w:t>78</w:t>
      </w:r>
      <w:r>
        <w:rPr>
          <w:rFonts w:eastAsia="方正仿宋_GBK"/>
          <w:sz w:val="32"/>
          <w:szCs w:val="32"/>
        </w:rPr>
        <w:fldChar w:fldCharType="end"/>
      </w:r>
      <w:r>
        <w:rPr>
          <w:rFonts w:eastAsia="方正仿宋_GBK"/>
          <w:sz w:val="32"/>
          <w:szCs w:val="32"/>
        </w:rPr>
        <w:fldChar w:fldCharType="end"/>
      </w:r>
    </w:p>
    <w:p w14:paraId="3A313DC0">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"_Toc60466287" </w:instrText>
      </w:r>
      <w:r>
        <w:fldChar w:fldCharType="separate"/>
      </w:r>
      <w:r>
        <w:rPr>
          <w:rStyle w:val="15"/>
          <w:rFonts w:hint="eastAsia" w:ascii="Times New Roman" w:hAnsi="Times New Roman" w:eastAsia="方正楷体_GBK" w:cs="方正楷体_GBK"/>
          <w:sz w:val="32"/>
          <w:szCs w:val="32"/>
        </w:rPr>
        <w:t>第一节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推进基本公共服务均衡配置</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_Toc60466287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79</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7141005D">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"_Toc60466288" </w:instrText>
      </w:r>
      <w:r>
        <w:fldChar w:fldCharType="separate"/>
      </w:r>
      <w:r>
        <w:rPr>
          <w:rStyle w:val="15"/>
          <w:rFonts w:hint="eastAsia" w:ascii="Times New Roman" w:hAnsi="Times New Roman" w:eastAsia="方正楷体_GBK" w:cs="方正楷体_GBK"/>
          <w:sz w:val="32"/>
          <w:szCs w:val="32"/>
        </w:rPr>
        <w:t>第二节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科学规划使用公共服务资源</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_Toc60466288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79</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40043505">
      <w:pPr>
        <w:pStyle w:val="6"/>
        <w:tabs>
          <w:tab w:val="right" w:leader="dot" w:pos="8834"/>
        </w:tabs>
        <w:ind w:left="31680"/>
        <w:rPr>
          <w:rFonts w:ascii="Times New Roman" w:hAnsi="Times New Roman" w:eastAsia="方正仿宋_GBK" w:cs="Times New Roman"/>
          <w:sz w:val="32"/>
          <w:szCs w:val="32"/>
        </w:rPr>
      </w:pPr>
      <w:r>
        <w:fldChar w:fldCharType="begin"/>
      </w:r>
      <w:r>
        <w:instrText xml:space="preserve"> HYPERLINK \l "_Toc60466289" </w:instrText>
      </w:r>
      <w:r>
        <w:fldChar w:fldCharType="separate"/>
      </w:r>
      <w:r>
        <w:rPr>
          <w:rStyle w:val="15"/>
          <w:rFonts w:hint="eastAsia" w:ascii="Times New Roman" w:hAnsi="Times New Roman" w:eastAsia="方正楷体_GBK" w:cs="方正楷体_GBK"/>
          <w:sz w:val="32"/>
          <w:szCs w:val="32"/>
        </w:rPr>
        <w:t>第三节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增加非基本公共服务多样性</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_Toc60466289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79</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02E48042">
      <w:pPr>
        <w:pStyle w:val="11"/>
        <w:tabs>
          <w:tab w:val="right" w:leader="dot" w:pos="8834"/>
        </w:tabs>
        <w:ind w:left="31680"/>
        <w:rPr>
          <w:rFonts w:eastAsia="方正仿宋_GBK"/>
          <w:sz w:val="32"/>
          <w:szCs w:val="32"/>
        </w:rPr>
      </w:pPr>
      <w:r>
        <w:fldChar w:fldCharType="begin"/>
      </w:r>
      <w:r>
        <w:instrText xml:space="preserve"> HYPERLINK \l "_Toc60466290" </w:instrText>
      </w:r>
      <w:r>
        <w:fldChar w:fldCharType="separate"/>
      </w:r>
      <w:r>
        <w:rPr>
          <w:rStyle w:val="15"/>
          <w:rFonts w:hint="eastAsia" w:eastAsia="方正仿宋_GBK" w:cs="方正仿宋_GBK"/>
          <w:sz w:val="32"/>
          <w:szCs w:val="32"/>
        </w:rPr>
        <w:t>第二十一章</w:t>
      </w:r>
      <w:r>
        <w:rPr>
          <w:rStyle w:val="15"/>
          <w:rFonts w:eastAsia="方正仿宋_GBK"/>
          <w:sz w:val="32"/>
          <w:szCs w:val="32"/>
        </w:rPr>
        <w:t xml:space="preserve"> </w:t>
      </w:r>
      <w:r>
        <w:rPr>
          <w:rStyle w:val="15"/>
          <w:rFonts w:hint="eastAsia" w:eastAsia="方正仿宋_GBK" w:cs="方正仿宋_GBK"/>
          <w:sz w:val="32"/>
          <w:szCs w:val="32"/>
        </w:rPr>
        <w:t>实现更高质量的富民增收</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_Toc60466290 \h </w:instrText>
      </w:r>
      <w:r>
        <w:rPr>
          <w:rFonts w:eastAsia="方正仿宋_GBK"/>
          <w:sz w:val="32"/>
          <w:szCs w:val="32"/>
        </w:rPr>
        <w:fldChar w:fldCharType="separate"/>
      </w:r>
      <w:r>
        <w:rPr>
          <w:rFonts w:eastAsia="方正仿宋_GBK"/>
          <w:sz w:val="32"/>
          <w:szCs w:val="32"/>
        </w:rPr>
        <w:t>80</w:t>
      </w:r>
      <w:r>
        <w:rPr>
          <w:rFonts w:eastAsia="方正仿宋_GBK"/>
          <w:sz w:val="32"/>
          <w:szCs w:val="32"/>
        </w:rPr>
        <w:fldChar w:fldCharType="end"/>
      </w:r>
      <w:r>
        <w:rPr>
          <w:rFonts w:eastAsia="方正仿宋_GBK"/>
          <w:sz w:val="32"/>
          <w:szCs w:val="32"/>
        </w:rPr>
        <w:fldChar w:fldCharType="end"/>
      </w:r>
    </w:p>
    <w:p w14:paraId="17B3871B">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"_Toc60466291" </w:instrText>
      </w:r>
      <w:r>
        <w:fldChar w:fldCharType="separate"/>
      </w:r>
      <w:r>
        <w:rPr>
          <w:rStyle w:val="15"/>
          <w:rFonts w:hint="eastAsia" w:ascii="Times New Roman" w:hAnsi="Times New Roman" w:eastAsia="方正楷体_GBK" w:cs="方正楷体_GBK"/>
          <w:sz w:val="32"/>
          <w:szCs w:val="32"/>
        </w:rPr>
        <w:t>第一节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促进居民收入持续增长</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_Toc60466291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80</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031B053B">
      <w:pPr>
        <w:pStyle w:val="6"/>
        <w:tabs>
          <w:tab w:val="right" w:leader="dot" w:pos="8834"/>
        </w:tabs>
        <w:ind w:left="31680"/>
        <w:rPr>
          <w:rFonts w:ascii="Times New Roman" w:hAnsi="Times New Roman" w:eastAsia="方正仿宋_GBK" w:cs="Times New Roman"/>
          <w:sz w:val="32"/>
          <w:szCs w:val="32"/>
        </w:rPr>
      </w:pPr>
      <w:r>
        <w:fldChar w:fldCharType="begin"/>
      </w:r>
      <w:r>
        <w:instrText xml:space="preserve"> HYPERLINK \l "_Toc60466292" </w:instrText>
      </w:r>
      <w:r>
        <w:fldChar w:fldCharType="separate"/>
      </w:r>
      <w:r>
        <w:rPr>
          <w:rStyle w:val="15"/>
          <w:rFonts w:hint="eastAsia" w:ascii="Times New Roman" w:hAnsi="Times New Roman" w:eastAsia="方正楷体_GBK" w:cs="方正楷体_GBK"/>
          <w:sz w:val="32"/>
          <w:szCs w:val="32"/>
        </w:rPr>
        <w:t>第二节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探索多种收入分配方式</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_Toc60466292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80</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23499FF4">
      <w:pPr>
        <w:pStyle w:val="11"/>
        <w:tabs>
          <w:tab w:val="right" w:leader="dot" w:pos="8834"/>
        </w:tabs>
        <w:ind w:left="31680"/>
        <w:rPr>
          <w:rFonts w:eastAsia="方正仿宋_GBK"/>
          <w:sz w:val="32"/>
          <w:szCs w:val="32"/>
        </w:rPr>
      </w:pPr>
      <w:r>
        <w:fldChar w:fldCharType="begin"/>
      </w:r>
      <w:r>
        <w:instrText xml:space="preserve"> HYPERLINK \l "_Toc60466293" </w:instrText>
      </w:r>
      <w:r>
        <w:fldChar w:fldCharType="separate"/>
      </w:r>
      <w:r>
        <w:rPr>
          <w:rStyle w:val="15"/>
          <w:rFonts w:hint="eastAsia" w:eastAsia="方正仿宋_GBK" w:cs="方正仿宋_GBK"/>
          <w:sz w:val="32"/>
          <w:szCs w:val="32"/>
        </w:rPr>
        <w:t>第二十二章</w:t>
      </w:r>
      <w:r>
        <w:rPr>
          <w:rStyle w:val="15"/>
          <w:rFonts w:eastAsia="方正仿宋_GBK"/>
          <w:sz w:val="32"/>
          <w:szCs w:val="32"/>
        </w:rPr>
        <w:t xml:space="preserve"> </w:t>
      </w:r>
      <w:r>
        <w:rPr>
          <w:rStyle w:val="15"/>
          <w:rFonts w:hint="eastAsia" w:eastAsia="方正仿宋_GBK" w:cs="方正仿宋_GBK"/>
          <w:sz w:val="32"/>
          <w:szCs w:val="32"/>
        </w:rPr>
        <w:t>实现更高质量的教育水平</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_Toc60466293 \h </w:instrText>
      </w:r>
      <w:r>
        <w:rPr>
          <w:rFonts w:eastAsia="方正仿宋_GBK"/>
          <w:sz w:val="32"/>
          <w:szCs w:val="32"/>
        </w:rPr>
        <w:fldChar w:fldCharType="separate"/>
      </w:r>
      <w:r>
        <w:rPr>
          <w:rFonts w:eastAsia="方正仿宋_GBK"/>
          <w:sz w:val="32"/>
          <w:szCs w:val="32"/>
        </w:rPr>
        <w:t>81</w:t>
      </w:r>
      <w:r>
        <w:rPr>
          <w:rFonts w:eastAsia="方正仿宋_GBK"/>
          <w:sz w:val="32"/>
          <w:szCs w:val="32"/>
        </w:rPr>
        <w:fldChar w:fldCharType="end"/>
      </w:r>
      <w:r>
        <w:rPr>
          <w:rFonts w:eastAsia="方正仿宋_GBK"/>
          <w:sz w:val="32"/>
          <w:szCs w:val="32"/>
        </w:rPr>
        <w:fldChar w:fldCharType="end"/>
      </w:r>
    </w:p>
    <w:p w14:paraId="62CE945C">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"_Toc60466294" </w:instrText>
      </w:r>
      <w:r>
        <w:fldChar w:fldCharType="separate"/>
      </w:r>
      <w:r>
        <w:rPr>
          <w:rStyle w:val="15"/>
          <w:rFonts w:hint="eastAsia" w:ascii="Times New Roman" w:hAnsi="Times New Roman" w:eastAsia="方正楷体_GBK" w:cs="方正楷体_GBK"/>
          <w:sz w:val="32"/>
          <w:szCs w:val="32"/>
        </w:rPr>
        <w:t>第一节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促进教育资源均衡布局</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_Toc60466294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81</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30F61EC4">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"_Toc60466295" </w:instrText>
      </w:r>
      <w:r>
        <w:fldChar w:fldCharType="separate"/>
      </w:r>
      <w:r>
        <w:rPr>
          <w:rStyle w:val="15"/>
          <w:rFonts w:hint="eastAsia" w:ascii="Times New Roman" w:hAnsi="Times New Roman" w:eastAsia="方正楷体_GBK" w:cs="方正楷体_GBK"/>
          <w:sz w:val="32"/>
          <w:szCs w:val="32"/>
        </w:rPr>
        <w:t>第二节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提升师资队伍建设质量</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_Toc60466295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81</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707D90F6">
      <w:pPr>
        <w:pStyle w:val="6"/>
        <w:tabs>
          <w:tab w:val="right" w:leader="dot" w:pos="8834"/>
        </w:tabs>
        <w:ind w:left="31680"/>
        <w:rPr>
          <w:rFonts w:ascii="Times New Roman" w:hAnsi="Times New Roman" w:eastAsia="方正仿宋_GBK" w:cs="Times New Roman"/>
          <w:sz w:val="32"/>
          <w:szCs w:val="32"/>
        </w:rPr>
      </w:pPr>
      <w:r>
        <w:fldChar w:fldCharType="begin"/>
      </w:r>
      <w:r>
        <w:instrText xml:space="preserve"> HYPERLINK \l "_Toc60466296" </w:instrText>
      </w:r>
      <w:r>
        <w:fldChar w:fldCharType="separate"/>
      </w:r>
      <w:r>
        <w:rPr>
          <w:rStyle w:val="15"/>
          <w:rFonts w:hint="eastAsia" w:ascii="Times New Roman" w:hAnsi="Times New Roman" w:eastAsia="方正楷体_GBK" w:cs="方正楷体_GBK"/>
          <w:sz w:val="32"/>
          <w:szCs w:val="32"/>
        </w:rPr>
        <w:t>第三节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完善多层次终身教育体系</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_Toc60466296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82</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58E101A2">
      <w:pPr>
        <w:pStyle w:val="11"/>
        <w:tabs>
          <w:tab w:val="right" w:leader="dot" w:pos="8834"/>
        </w:tabs>
        <w:ind w:left="31680"/>
        <w:rPr>
          <w:rFonts w:eastAsia="方正仿宋_GBK"/>
          <w:sz w:val="32"/>
          <w:szCs w:val="32"/>
        </w:rPr>
      </w:pPr>
      <w:r>
        <w:fldChar w:fldCharType="begin"/>
      </w:r>
      <w:r>
        <w:instrText xml:space="preserve"> HYPERLINK \l "_Toc60466297" </w:instrText>
      </w:r>
      <w:r>
        <w:fldChar w:fldCharType="separate"/>
      </w:r>
      <w:r>
        <w:rPr>
          <w:rStyle w:val="15"/>
          <w:rFonts w:hint="eastAsia" w:eastAsia="方正仿宋_GBK" w:cs="方正仿宋_GBK"/>
          <w:sz w:val="32"/>
          <w:szCs w:val="32"/>
        </w:rPr>
        <w:t>第二十三章</w:t>
      </w:r>
      <w:r>
        <w:rPr>
          <w:rStyle w:val="15"/>
          <w:rFonts w:eastAsia="方正仿宋_GBK"/>
          <w:sz w:val="32"/>
          <w:szCs w:val="32"/>
        </w:rPr>
        <w:t xml:space="preserve"> </w:t>
      </w:r>
      <w:r>
        <w:rPr>
          <w:rStyle w:val="15"/>
          <w:rFonts w:hint="eastAsia" w:eastAsia="方正仿宋_GBK" w:cs="方正仿宋_GBK"/>
          <w:sz w:val="32"/>
          <w:szCs w:val="32"/>
        </w:rPr>
        <w:t>实现更高质量的医疗水平</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_Toc60466297 \h </w:instrText>
      </w:r>
      <w:r>
        <w:rPr>
          <w:rFonts w:eastAsia="方正仿宋_GBK"/>
          <w:sz w:val="32"/>
          <w:szCs w:val="32"/>
        </w:rPr>
        <w:fldChar w:fldCharType="separate"/>
      </w:r>
      <w:r>
        <w:rPr>
          <w:rFonts w:eastAsia="方正仿宋_GBK"/>
          <w:sz w:val="32"/>
          <w:szCs w:val="32"/>
        </w:rPr>
        <w:t>83</w:t>
      </w:r>
      <w:r>
        <w:rPr>
          <w:rFonts w:eastAsia="方正仿宋_GBK"/>
          <w:sz w:val="32"/>
          <w:szCs w:val="32"/>
        </w:rPr>
        <w:fldChar w:fldCharType="end"/>
      </w:r>
      <w:r>
        <w:rPr>
          <w:rFonts w:eastAsia="方正仿宋_GBK"/>
          <w:sz w:val="32"/>
          <w:szCs w:val="32"/>
        </w:rPr>
        <w:fldChar w:fldCharType="end"/>
      </w:r>
    </w:p>
    <w:p w14:paraId="5C386BF8">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"_Toc60466298" </w:instrText>
      </w:r>
      <w:r>
        <w:fldChar w:fldCharType="separate"/>
      </w:r>
      <w:r>
        <w:rPr>
          <w:rStyle w:val="15"/>
          <w:rFonts w:hint="eastAsia" w:ascii="Times New Roman" w:hAnsi="Times New Roman" w:eastAsia="方正楷体_GBK" w:cs="方正楷体_GBK"/>
          <w:sz w:val="32"/>
          <w:szCs w:val="32"/>
        </w:rPr>
        <w:t>第一节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完善医疗服务体系</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_Toc60466298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83</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11DED00D">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"_Toc60466299" </w:instrText>
      </w:r>
      <w:r>
        <w:fldChar w:fldCharType="separate"/>
      </w:r>
      <w:r>
        <w:rPr>
          <w:rStyle w:val="15"/>
          <w:rFonts w:hint="eastAsia" w:ascii="Times New Roman" w:hAnsi="Times New Roman" w:eastAsia="方正楷体_GBK" w:cs="方正楷体_GBK"/>
          <w:sz w:val="32"/>
          <w:szCs w:val="32"/>
        </w:rPr>
        <w:t>第二节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促进资源均衡配置</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_Toc60466299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83</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1C55B29A">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"_Toc60466300" </w:instrText>
      </w:r>
      <w:r>
        <w:fldChar w:fldCharType="separate"/>
      </w:r>
      <w:r>
        <w:rPr>
          <w:rStyle w:val="15"/>
          <w:rFonts w:hint="eastAsia" w:ascii="Times New Roman" w:hAnsi="Times New Roman" w:eastAsia="方正楷体_GBK" w:cs="方正楷体_GBK"/>
          <w:sz w:val="32"/>
          <w:szCs w:val="32"/>
        </w:rPr>
        <w:t>第三节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加强人才队伍建设</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_Toc60466300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84</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4D201DA7">
      <w:pPr>
        <w:pStyle w:val="6"/>
        <w:tabs>
          <w:tab w:val="right" w:leader="dot" w:pos="8834"/>
        </w:tabs>
        <w:ind w:left="31680"/>
        <w:rPr>
          <w:rFonts w:ascii="Times New Roman" w:hAnsi="Times New Roman" w:eastAsia="方正仿宋_GBK" w:cs="Times New Roman"/>
          <w:sz w:val="32"/>
          <w:szCs w:val="32"/>
        </w:rPr>
      </w:pPr>
      <w:r>
        <w:fldChar w:fldCharType="begin"/>
      </w:r>
      <w:r>
        <w:instrText xml:space="preserve"> HYPERLINK \l "_Toc60466301" </w:instrText>
      </w:r>
      <w:r>
        <w:fldChar w:fldCharType="separate"/>
      </w:r>
      <w:r>
        <w:rPr>
          <w:rStyle w:val="15"/>
          <w:rFonts w:hint="eastAsia" w:ascii="Times New Roman" w:hAnsi="Times New Roman" w:eastAsia="方正楷体_GBK" w:cs="方正楷体_GBK"/>
          <w:sz w:val="32"/>
          <w:szCs w:val="32"/>
        </w:rPr>
        <w:t>第四节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提升中医药品牌优势</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_Toc60466301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84</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46754969">
      <w:pPr>
        <w:pStyle w:val="11"/>
        <w:tabs>
          <w:tab w:val="right" w:leader="dot" w:pos="8834"/>
        </w:tabs>
        <w:ind w:left="31680"/>
        <w:rPr>
          <w:rFonts w:eastAsia="方正仿宋_GBK"/>
          <w:sz w:val="32"/>
          <w:szCs w:val="32"/>
        </w:rPr>
      </w:pPr>
      <w:r>
        <w:fldChar w:fldCharType="begin"/>
      </w:r>
      <w:r>
        <w:instrText xml:space="preserve"> HYPERLINK \l "_Toc60466302" </w:instrText>
      </w:r>
      <w:r>
        <w:fldChar w:fldCharType="separate"/>
      </w:r>
      <w:r>
        <w:rPr>
          <w:rStyle w:val="15"/>
          <w:rFonts w:hint="eastAsia" w:eastAsia="方正仿宋_GBK" w:cs="方正仿宋_GBK"/>
          <w:sz w:val="32"/>
          <w:szCs w:val="32"/>
        </w:rPr>
        <w:t>第二十四章</w:t>
      </w:r>
      <w:r>
        <w:rPr>
          <w:rStyle w:val="15"/>
          <w:rFonts w:eastAsia="方正仿宋_GBK"/>
          <w:sz w:val="32"/>
          <w:szCs w:val="32"/>
        </w:rPr>
        <w:t xml:space="preserve"> </w:t>
      </w:r>
      <w:r>
        <w:rPr>
          <w:rStyle w:val="15"/>
          <w:rFonts w:hint="eastAsia" w:eastAsia="方正仿宋_GBK" w:cs="方正仿宋_GBK"/>
          <w:sz w:val="32"/>
          <w:szCs w:val="32"/>
        </w:rPr>
        <w:t>实现更高质量的老龄服务</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_Toc60466302 \h </w:instrText>
      </w:r>
      <w:r>
        <w:rPr>
          <w:rFonts w:eastAsia="方正仿宋_GBK"/>
          <w:sz w:val="32"/>
          <w:szCs w:val="32"/>
        </w:rPr>
        <w:fldChar w:fldCharType="separate"/>
      </w:r>
      <w:r>
        <w:rPr>
          <w:rFonts w:eastAsia="方正仿宋_GBK"/>
          <w:sz w:val="32"/>
          <w:szCs w:val="32"/>
        </w:rPr>
        <w:t>86</w:t>
      </w:r>
      <w:r>
        <w:rPr>
          <w:rFonts w:eastAsia="方正仿宋_GBK"/>
          <w:sz w:val="32"/>
          <w:szCs w:val="32"/>
        </w:rPr>
        <w:fldChar w:fldCharType="end"/>
      </w:r>
      <w:r>
        <w:rPr>
          <w:rFonts w:eastAsia="方正仿宋_GBK"/>
          <w:sz w:val="32"/>
          <w:szCs w:val="32"/>
        </w:rPr>
        <w:fldChar w:fldCharType="end"/>
      </w:r>
    </w:p>
    <w:p w14:paraId="75D9B7D9">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"_Toc60466303" </w:instrText>
      </w:r>
      <w:r>
        <w:fldChar w:fldCharType="separate"/>
      </w:r>
      <w:r>
        <w:rPr>
          <w:rStyle w:val="15"/>
          <w:rFonts w:hint="eastAsia" w:ascii="Times New Roman" w:hAnsi="Times New Roman" w:eastAsia="方正楷体_GBK" w:cs="方正楷体_GBK"/>
          <w:sz w:val="32"/>
          <w:szCs w:val="32"/>
        </w:rPr>
        <w:t>第一节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提升老龄服务硬件水平</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_Toc60466303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86</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094366C0">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"_Toc60466304" </w:instrText>
      </w:r>
      <w:r>
        <w:fldChar w:fldCharType="separate"/>
      </w:r>
      <w:r>
        <w:rPr>
          <w:rStyle w:val="15"/>
          <w:rFonts w:hint="eastAsia" w:ascii="Times New Roman" w:hAnsi="Times New Roman" w:eastAsia="方正楷体_GBK" w:cs="方正楷体_GBK"/>
          <w:sz w:val="32"/>
          <w:szCs w:val="32"/>
        </w:rPr>
        <w:t>第二节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创新老龄服务发展模式</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_Toc60466304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86</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76B52416">
      <w:pPr>
        <w:pStyle w:val="6"/>
        <w:tabs>
          <w:tab w:val="right" w:leader="dot" w:pos="8834"/>
        </w:tabs>
        <w:ind w:left="31680"/>
        <w:rPr>
          <w:rFonts w:ascii="Times New Roman" w:hAnsi="Times New Roman" w:eastAsia="方正仿宋_GBK" w:cs="Times New Roman"/>
          <w:sz w:val="32"/>
          <w:szCs w:val="32"/>
        </w:rPr>
      </w:pPr>
      <w:r>
        <w:fldChar w:fldCharType="begin"/>
      </w:r>
      <w:r>
        <w:instrText xml:space="preserve"> HYPERLINK \l "_Toc60466305" </w:instrText>
      </w:r>
      <w:r>
        <w:fldChar w:fldCharType="separate"/>
      </w:r>
      <w:r>
        <w:rPr>
          <w:rStyle w:val="15"/>
          <w:rFonts w:hint="eastAsia" w:ascii="Times New Roman" w:hAnsi="Times New Roman" w:eastAsia="方正楷体_GBK" w:cs="方正楷体_GBK"/>
          <w:sz w:val="32"/>
          <w:szCs w:val="32"/>
        </w:rPr>
        <w:t>第三节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优化推广医养结合模式</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_Toc60466305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87</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0664B900">
      <w:pPr>
        <w:pStyle w:val="11"/>
        <w:tabs>
          <w:tab w:val="right" w:leader="dot" w:pos="8834"/>
        </w:tabs>
        <w:ind w:left="31680"/>
        <w:rPr>
          <w:rFonts w:eastAsia="方正仿宋_GBK"/>
          <w:sz w:val="32"/>
          <w:szCs w:val="32"/>
        </w:rPr>
      </w:pPr>
      <w:r>
        <w:fldChar w:fldCharType="begin"/>
      </w:r>
      <w:r>
        <w:instrText xml:space="preserve"> HYPERLINK \l "_Toc60466306" </w:instrText>
      </w:r>
      <w:r>
        <w:fldChar w:fldCharType="separate"/>
      </w:r>
      <w:r>
        <w:rPr>
          <w:rStyle w:val="15"/>
          <w:rFonts w:hint="eastAsia" w:eastAsia="方正仿宋_GBK" w:cs="方正仿宋_GBK"/>
          <w:sz w:val="32"/>
          <w:szCs w:val="32"/>
        </w:rPr>
        <w:t>第二十五章</w:t>
      </w:r>
      <w:r>
        <w:rPr>
          <w:rStyle w:val="15"/>
          <w:rFonts w:eastAsia="方正仿宋_GBK"/>
          <w:sz w:val="32"/>
          <w:szCs w:val="32"/>
        </w:rPr>
        <w:t xml:space="preserve"> </w:t>
      </w:r>
      <w:r>
        <w:rPr>
          <w:rStyle w:val="15"/>
          <w:rFonts w:hint="eastAsia" w:eastAsia="方正仿宋_GBK" w:cs="方正仿宋_GBK"/>
          <w:sz w:val="32"/>
          <w:szCs w:val="32"/>
        </w:rPr>
        <w:t>实现更高质量的文体生活</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_Toc60466306 \h </w:instrText>
      </w:r>
      <w:r>
        <w:rPr>
          <w:rFonts w:eastAsia="方正仿宋_GBK"/>
          <w:sz w:val="32"/>
          <w:szCs w:val="32"/>
        </w:rPr>
        <w:fldChar w:fldCharType="separate"/>
      </w:r>
      <w:r>
        <w:rPr>
          <w:rFonts w:eastAsia="方正仿宋_GBK"/>
          <w:sz w:val="32"/>
          <w:szCs w:val="32"/>
        </w:rPr>
        <w:t>88</w:t>
      </w:r>
      <w:r>
        <w:rPr>
          <w:rFonts w:eastAsia="方正仿宋_GBK"/>
          <w:sz w:val="32"/>
          <w:szCs w:val="32"/>
        </w:rPr>
        <w:fldChar w:fldCharType="end"/>
      </w:r>
      <w:r>
        <w:rPr>
          <w:rFonts w:eastAsia="方正仿宋_GBK"/>
          <w:sz w:val="32"/>
          <w:szCs w:val="32"/>
        </w:rPr>
        <w:fldChar w:fldCharType="end"/>
      </w:r>
    </w:p>
    <w:p w14:paraId="314A5586">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"_Toc60466307" </w:instrText>
      </w:r>
      <w:r>
        <w:fldChar w:fldCharType="separate"/>
      </w:r>
      <w:r>
        <w:rPr>
          <w:rStyle w:val="15"/>
          <w:rFonts w:hint="eastAsia" w:ascii="Times New Roman" w:hAnsi="Times New Roman" w:eastAsia="方正楷体_GBK" w:cs="方正楷体_GBK"/>
          <w:sz w:val="32"/>
          <w:szCs w:val="32"/>
        </w:rPr>
        <w:t>第一节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完善公共文化服务体系</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_Toc60466307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88</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1F0DCE90">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"_Toc60466308" </w:instrText>
      </w:r>
      <w:r>
        <w:fldChar w:fldCharType="separate"/>
      </w:r>
      <w:r>
        <w:rPr>
          <w:rStyle w:val="15"/>
          <w:rFonts w:hint="eastAsia" w:ascii="Times New Roman" w:hAnsi="Times New Roman" w:eastAsia="方正楷体_GBK" w:cs="方正楷体_GBK"/>
          <w:sz w:val="32"/>
          <w:szCs w:val="32"/>
        </w:rPr>
        <w:t>第二节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提升文体设施使用效率</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_Toc60466308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88</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3440E552">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"_Toc60466309" </w:instrText>
      </w:r>
      <w:r>
        <w:fldChar w:fldCharType="separate"/>
      </w:r>
      <w:r>
        <w:rPr>
          <w:rStyle w:val="15"/>
          <w:rFonts w:hint="eastAsia" w:ascii="Times New Roman" w:hAnsi="Times New Roman" w:eastAsia="方正楷体_GBK" w:cs="方正楷体_GBK"/>
          <w:sz w:val="32"/>
          <w:szCs w:val="32"/>
        </w:rPr>
        <w:t>第三节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扩大活动影响力参与度</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_Toc60466309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89</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680609EA">
      <w:pPr>
        <w:pStyle w:val="6"/>
        <w:tabs>
          <w:tab w:val="right" w:leader="dot" w:pos="8834"/>
        </w:tabs>
        <w:ind w:left="31680"/>
        <w:rPr>
          <w:rFonts w:ascii="Times New Roman" w:hAnsi="Times New Roman" w:eastAsia="方正仿宋_GBK" w:cs="Times New Roman"/>
          <w:sz w:val="32"/>
          <w:szCs w:val="32"/>
        </w:rPr>
      </w:pPr>
      <w:r>
        <w:fldChar w:fldCharType="begin"/>
      </w:r>
      <w:r>
        <w:instrText xml:space="preserve"> HYPERLINK \l "_Toc60466310" </w:instrText>
      </w:r>
      <w:r>
        <w:fldChar w:fldCharType="separate"/>
      </w:r>
      <w:r>
        <w:rPr>
          <w:rStyle w:val="15"/>
          <w:rFonts w:hint="eastAsia" w:ascii="Times New Roman" w:hAnsi="Times New Roman" w:eastAsia="方正楷体_GBK" w:cs="方正楷体_GBK"/>
          <w:sz w:val="32"/>
          <w:szCs w:val="32"/>
        </w:rPr>
        <w:t>第四节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持续推进健康秦淮建设</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_Toc60466310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89</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2C9CD4C0">
      <w:pPr>
        <w:pStyle w:val="11"/>
        <w:tabs>
          <w:tab w:val="right" w:leader="dot" w:pos="8834"/>
        </w:tabs>
        <w:ind w:left="31680"/>
        <w:rPr>
          <w:rFonts w:eastAsia="方正仿宋_GBK"/>
          <w:sz w:val="32"/>
          <w:szCs w:val="32"/>
        </w:rPr>
      </w:pPr>
      <w:r>
        <w:fldChar w:fldCharType="begin"/>
      </w:r>
      <w:r>
        <w:instrText xml:space="preserve"> HYPERLINK \l "_Toc60466311" </w:instrText>
      </w:r>
      <w:r>
        <w:fldChar w:fldCharType="separate"/>
      </w:r>
      <w:r>
        <w:rPr>
          <w:rStyle w:val="15"/>
          <w:rFonts w:hint="eastAsia" w:eastAsia="方正仿宋_GBK" w:cs="方正仿宋_GBK"/>
          <w:sz w:val="32"/>
          <w:szCs w:val="32"/>
        </w:rPr>
        <w:t>第二十六章</w:t>
      </w:r>
      <w:r>
        <w:rPr>
          <w:rStyle w:val="15"/>
          <w:rFonts w:eastAsia="方正仿宋_GBK"/>
          <w:sz w:val="32"/>
          <w:szCs w:val="32"/>
        </w:rPr>
        <w:t xml:space="preserve"> </w:t>
      </w:r>
      <w:r>
        <w:rPr>
          <w:rStyle w:val="15"/>
          <w:rFonts w:hint="eastAsia" w:eastAsia="方正仿宋_GBK" w:cs="方正仿宋_GBK"/>
          <w:sz w:val="32"/>
          <w:szCs w:val="32"/>
        </w:rPr>
        <w:t>实现更高质量的就业创业</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_Toc60466311 \h </w:instrText>
      </w:r>
      <w:r>
        <w:rPr>
          <w:rFonts w:eastAsia="方正仿宋_GBK"/>
          <w:sz w:val="32"/>
          <w:szCs w:val="32"/>
        </w:rPr>
        <w:fldChar w:fldCharType="separate"/>
      </w:r>
      <w:r>
        <w:rPr>
          <w:rFonts w:eastAsia="方正仿宋_GBK"/>
          <w:sz w:val="32"/>
          <w:szCs w:val="32"/>
        </w:rPr>
        <w:t>91</w:t>
      </w:r>
      <w:r>
        <w:rPr>
          <w:rFonts w:eastAsia="方正仿宋_GBK"/>
          <w:sz w:val="32"/>
          <w:szCs w:val="32"/>
        </w:rPr>
        <w:fldChar w:fldCharType="end"/>
      </w:r>
      <w:r>
        <w:rPr>
          <w:rFonts w:eastAsia="方正仿宋_GBK"/>
          <w:sz w:val="32"/>
          <w:szCs w:val="32"/>
        </w:rPr>
        <w:fldChar w:fldCharType="end"/>
      </w:r>
    </w:p>
    <w:p w14:paraId="1CC18A1E">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"_Toc60466312" </w:instrText>
      </w:r>
      <w:r>
        <w:fldChar w:fldCharType="separate"/>
      </w:r>
      <w:r>
        <w:rPr>
          <w:rStyle w:val="15"/>
          <w:rFonts w:hint="eastAsia" w:ascii="Times New Roman" w:hAnsi="Times New Roman" w:eastAsia="方正楷体_GBK" w:cs="方正楷体_GBK"/>
          <w:sz w:val="32"/>
          <w:szCs w:val="32"/>
        </w:rPr>
        <w:t>第一节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保障劳动人口就业创业</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_Toc60466312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91</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66C5C234">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"_Toc60466313" </w:instrText>
      </w:r>
      <w:r>
        <w:fldChar w:fldCharType="separate"/>
      </w:r>
      <w:r>
        <w:rPr>
          <w:rStyle w:val="15"/>
          <w:rFonts w:hint="eastAsia" w:ascii="Times New Roman" w:hAnsi="Times New Roman" w:eastAsia="方正楷体_GBK" w:cs="方正楷体_GBK"/>
          <w:sz w:val="32"/>
          <w:szCs w:val="32"/>
        </w:rPr>
        <w:t>第二节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提升劳动者就业技能</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_Toc60466313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92</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3841DCBC">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"_Toc60466314" </w:instrText>
      </w:r>
      <w:r>
        <w:fldChar w:fldCharType="separate"/>
      </w:r>
      <w:r>
        <w:rPr>
          <w:rStyle w:val="15"/>
          <w:rFonts w:hint="eastAsia" w:ascii="Times New Roman" w:hAnsi="Times New Roman" w:eastAsia="方正楷体_GBK" w:cs="方正楷体_GBK"/>
          <w:sz w:val="32"/>
          <w:szCs w:val="32"/>
        </w:rPr>
        <w:t>第三节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建设产业工人队伍</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_Toc60466314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92</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4585A2B1">
      <w:pPr>
        <w:pStyle w:val="6"/>
        <w:tabs>
          <w:tab w:val="right" w:leader="dot" w:pos="8834"/>
        </w:tabs>
        <w:ind w:left="31680"/>
        <w:rPr>
          <w:rFonts w:ascii="Times New Roman" w:hAnsi="Times New Roman" w:eastAsia="方正仿宋_GBK" w:cs="Times New Roman"/>
          <w:sz w:val="32"/>
          <w:szCs w:val="32"/>
        </w:rPr>
      </w:pPr>
      <w:r>
        <w:fldChar w:fldCharType="begin"/>
      </w:r>
      <w:r>
        <w:instrText xml:space="preserve"> HYPERLINK \l "_Toc60466315" </w:instrText>
      </w:r>
      <w:r>
        <w:fldChar w:fldCharType="separate"/>
      </w:r>
      <w:r>
        <w:rPr>
          <w:rStyle w:val="15"/>
          <w:rFonts w:hint="eastAsia" w:ascii="Times New Roman" w:hAnsi="Times New Roman" w:eastAsia="方正楷体_GBK" w:cs="方正楷体_GBK"/>
          <w:sz w:val="32"/>
          <w:szCs w:val="32"/>
        </w:rPr>
        <w:t>第四节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优化和谐劳动关系</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_Toc60466315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93</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011F10F6">
      <w:pPr>
        <w:pStyle w:val="11"/>
        <w:tabs>
          <w:tab w:val="right" w:leader="dot" w:pos="8834"/>
        </w:tabs>
        <w:ind w:left="31680"/>
        <w:rPr>
          <w:rFonts w:eastAsia="方正仿宋_GBK"/>
          <w:sz w:val="32"/>
          <w:szCs w:val="32"/>
        </w:rPr>
      </w:pPr>
      <w:r>
        <w:fldChar w:fldCharType="begin"/>
      </w:r>
      <w:r>
        <w:instrText xml:space="preserve"> HYPERLINK \l "_Toc60466316" </w:instrText>
      </w:r>
      <w:r>
        <w:fldChar w:fldCharType="separate"/>
      </w:r>
      <w:r>
        <w:rPr>
          <w:rStyle w:val="15"/>
          <w:rFonts w:hint="eastAsia" w:eastAsia="方正仿宋_GBK" w:cs="方正仿宋_GBK"/>
          <w:sz w:val="32"/>
          <w:szCs w:val="32"/>
        </w:rPr>
        <w:t>第二十七章</w:t>
      </w:r>
      <w:r>
        <w:rPr>
          <w:rStyle w:val="15"/>
          <w:rFonts w:eastAsia="方正仿宋_GBK"/>
          <w:sz w:val="32"/>
          <w:szCs w:val="32"/>
        </w:rPr>
        <w:t xml:space="preserve"> </w:t>
      </w:r>
      <w:r>
        <w:rPr>
          <w:rStyle w:val="15"/>
          <w:rFonts w:hint="eastAsia" w:eastAsia="方正仿宋_GBK" w:cs="方正仿宋_GBK"/>
          <w:sz w:val="32"/>
          <w:szCs w:val="32"/>
        </w:rPr>
        <w:t>健全多层次社会保障体系</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_Toc60466316 \h </w:instrText>
      </w:r>
      <w:r>
        <w:rPr>
          <w:rFonts w:eastAsia="方正仿宋_GBK"/>
          <w:sz w:val="32"/>
          <w:szCs w:val="32"/>
        </w:rPr>
        <w:fldChar w:fldCharType="separate"/>
      </w:r>
      <w:r>
        <w:rPr>
          <w:rFonts w:eastAsia="方正仿宋_GBK"/>
          <w:sz w:val="32"/>
          <w:szCs w:val="32"/>
        </w:rPr>
        <w:t>94</w:t>
      </w:r>
      <w:r>
        <w:rPr>
          <w:rFonts w:eastAsia="方正仿宋_GBK"/>
          <w:sz w:val="32"/>
          <w:szCs w:val="32"/>
        </w:rPr>
        <w:fldChar w:fldCharType="end"/>
      </w:r>
      <w:r>
        <w:rPr>
          <w:rFonts w:eastAsia="方正仿宋_GBK"/>
          <w:sz w:val="32"/>
          <w:szCs w:val="32"/>
        </w:rPr>
        <w:fldChar w:fldCharType="end"/>
      </w:r>
    </w:p>
    <w:p w14:paraId="45D125A6">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"_Toc60466317" </w:instrText>
      </w:r>
      <w:r>
        <w:fldChar w:fldCharType="separate"/>
      </w:r>
      <w:r>
        <w:rPr>
          <w:rStyle w:val="15"/>
          <w:rFonts w:hint="eastAsia" w:ascii="Times New Roman" w:hAnsi="Times New Roman" w:eastAsia="方正楷体_GBK" w:cs="方正楷体_GBK"/>
          <w:sz w:val="32"/>
          <w:szCs w:val="32"/>
        </w:rPr>
        <w:t>第一节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落实全民参保计划</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_Toc60466317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94</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1D57AB24">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"_Toc60466318" </w:instrText>
      </w:r>
      <w:r>
        <w:fldChar w:fldCharType="separate"/>
      </w:r>
      <w:r>
        <w:rPr>
          <w:rStyle w:val="15"/>
          <w:rFonts w:hint="eastAsia" w:ascii="Times New Roman" w:hAnsi="Times New Roman" w:eastAsia="方正楷体_GBK" w:cs="方正楷体_GBK"/>
          <w:sz w:val="32"/>
          <w:szCs w:val="32"/>
        </w:rPr>
        <w:t>第二节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健全完善救助体系</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_Toc60466318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94</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1107FA51">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"_Toc60466319" </w:instrText>
      </w:r>
      <w:r>
        <w:fldChar w:fldCharType="separate"/>
      </w:r>
      <w:r>
        <w:rPr>
          <w:rStyle w:val="15"/>
          <w:rFonts w:hint="eastAsia" w:ascii="Times New Roman" w:hAnsi="Times New Roman" w:eastAsia="方正楷体_GBK" w:cs="方正楷体_GBK"/>
          <w:sz w:val="32"/>
          <w:szCs w:val="32"/>
        </w:rPr>
        <w:t>第三节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完善住房保障体系</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_Toc60466319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95</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0CC7B611">
      <w:pPr>
        <w:pStyle w:val="6"/>
        <w:tabs>
          <w:tab w:val="right" w:leader="dot" w:pos="8834"/>
        </w:tabs>
        <w:ind w:left="31680"/>
        <w:rPr>
          <w:rFonts w:ascii="Times New Roman" w:hAnsi="Times New Roman" w:eastAsia="方正仿宋_GBK" w:cs="Times New Roman"/>
          <w:sz w:val="32"/>
          <w:szCs w:val="32"/>
        </w:rPr>
      </w:pPr>
      <w:r>
        <w:fldChar w:fldCharType="begin"/>
      </w:r>
      <w:r>
        <w:instrText xml:space="preserve"> HYPERLINK \l "_Toc60466320" </w:instrText>
      </w:r>
      <w:r>
        <w:fldChar w:fldCharType="separate"/>
      </w:r>
      <w:r>
        <w:rPr>
          <w:rStyle w:val="15"/>
          <w:rFonts w:hint="eastAsia" w:ascii="Times New Roman" w:hAnsi="Times New Roman" w:eastAsia="方正楷体_GBK" w:cs="方正楷体_GBK"/>
          <w:sz w:val="32"/>
          <w:szCs w:val="32"/>
        </w:rPr>
        <w:t>第四节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加强残疾人帮扶保障</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_Toc60466320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95</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403AFE6A">
      <w:pPr>
        <w:pStyle w:val="11"/>
        <w:tabs>
          <w:tab w:val="right" w:leader="dot" w:pos="8834"/>
        </w:tabs>
        <w:ind w:left="31680"/>
        <w:rPr>
          <w:rFonts w:eastAsia="方正仿宋_GBK"/>
          <w:sz w:val="32"/>
          <w:szCs w:val="32"/>
        </w:rPr>
      </w:pPr>
      <w:r>
        <w:fldChar w:fldCharType="begin"/>
      </w:r>
      <w:r>
        <w:instrText xml:space="preserve"> HYPERLINK \l "_Toc60466321" </w:instrText>
      </w:r>
      <w:r>
        <w:fldChar w:fldCharType="separate"/>
      </w:r>
      <w:r>
        <w:rPr>
          <w:rStyle w:val="15"/>
          <w:rFonts w:hint="eastAsia" w:eastAsia="方正仿宋_GBK" w:cs="方正仿宋_GBK"/>
          <w:sz w:val="32"/>
          <w:szCs w:val="32"/>
        </w:rPr>
        <w:t>第二十八章</w:t>
      </w:r>
      <w:r>
        <w:rPr>
          <w:rStyle w:val="15"/>
          <w:rFonts w:eastAsia="方正仿宋_GBK"/>
          <w:sz w:val="32"/>
          <w:szCs w:val="32"/>
        </w:rPr>
        <w:t xml:space="preserve"> </w:t>
      </w:r>
      <w:r>
        <w:rPr>
          <w:rStyle w:val="15"/>
          <w:rFonts w:hint="eastAsia" w:eastAsia="方正仿宋_GBK" w:cs="方正仿宋_GBK"/>
          <w:sz w:val="32"/>
          <w:szCs w:val="32"/>
        </w:rPr>
        <w:t>促进妇女儿童青少年发展</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_Toc60466321 \h </w:instrText>
      </w:r>
      <w:r>
        <w:rPr>
          <w:rFonts w:eastAsia="方正仿宋_GBK"/>
          <w:sz w:val="32"/>
          <w:szCs w:val="32"/>
        </w:rPr>
        <w:fldChar w:fldCharType="separate"/>
      </w:r>
      <w:r>
        <w:rPr>
          <w:rFonts w:eastAsia="方正仿宋_GBK"/>
          <w:sz w:val="32"/>
          <w:szCs w:val="32"/>
        </w:rPr>
        <w:t>95</w:t>
      </w:r>
      <w:r>
        <w:rPr>
          <w:rFonts w:eastAsia="方正仿宋_GBK"/>
          <w:sz w:val="32"/>
          <w:szCs w:val="32"/>
        </w:rPr>
        <w:fldChar w:fldCharType="end"/>
      </w:r>
      <w:r>
        <w:rPr>
          <w:rFonts w:eastAsia="方正仿宋_GBK"/>
          <w:sz w:val="32"/>
          <w:szCs w:val="32"/>
        </w:rPr>
        <w:fldChar w:fldCharType="end"/>
      </w:r>
    </w:p>
    <w:p w14:paraId="0E01A5BF">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"_Toc60466322" </w:instrText>
      </w:r>
      <w:r>
        <w:fldChar w:fldCharType="separate"/>
      </w:r>
      <w:r>
        <w:rPr>
          <w:rStyle w:val="15"/>
          <w:rFonts w:hint="eastAsia" w:ascii="Times New Roman" w:hAnsi="Times New Roman" w:eastAsia="方正楷体_GBK" w:cs="方正楷体_GBK"/>
          <w:sz w:val="32"/>
          <w:szCs w:val="32"/>
        </w:rPr>
        <w:t>第一节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提升妇女发展环境</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_Toc60466322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95</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3C7C0CB7">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"_Toc60466323" </w:instrText>
      </w:r>
      <w:r>
        <w:fldChar w:fldCharType="separate"/>
      </w:r>
      <w:r>
        <w:rPr>
          <w:rStyle w:val="15"/>
          <w:rFonts w:hint="eastAsia" w:ascii="Times New Roman" w:hAnsi="Times New Roman" w:eastAsia="方正楷体_GBK" w:cs="方正楷体_GBK"/>
          <w:sz w:val="32"/>
          <w:szCs w:val="32"/>
        </w:rPr>
        <w:t>第二节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拓展儿童发展空间</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_Toc60466323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96</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6165C3B9">
      <w:pPr>
        <w:pStyle w:val="6"/>
        <w:tabs>
          <w:tab w:val="right" w:leader="dot" w:pos="8834"/>
        </w:tabs>
        <w:ind w:left="31680"/>
        <w:rPr>
          <w:rFonts w:ascii="Times New Roman" w:hAnsi="Times New Roman" w:eastAsia="华文中宋" w:cs="Times New Roman"/>
          <w:sz w:val="32"/>
          <w:szCs w:val="32"/>
        </w:rPr>
      </w:pPr>
      <w:r>
        <w:fldChar w:fldCharType="begin"/>
      </w:r>
      <w:r>
        <w:instrText xml:space="preserve"> HYPERLINK \l "_Toc60466324" </w:instrText>
      </w:r>
      <w:r>
        <w:fldChar w:fldCharType="separate"/>
      </w:r>
      <w:r>
        <w:rPr>
          <w:rStyle w:val="15"/>
          <w:rFonts w:hint="eastAsia" w:ascii="Times New Roman" w:hAnsi="Times New Roman" w:eastAsia="方正楷体_GBK" w:cs="方正楷体_GBK"/>
          <w:sz w:val="32"/>
          <w:szCs w:val="32"/>
        </w:rPr>
        <w:t>第三节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优化青年发展服务</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_Toc60466324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97</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311E29D5">
      <w:pPr>
        <w:pStyle w:val="9"/>
        <w:tabs>
          <w:tab w:val="right" w:leader="dot" w:pos="8834"/>
        </w:tabs>
        <w:rPr>
          <w:rFonts w:eastAsia="华文中宋"/>
          <w:sz w:val="32"/>
          <w:szCs w:val="32"/>
        </w:rPr>
      </w:pPr>
      <w:r>
        <w:fldChar w:fldCharType="begin"/>
      </w:r>
      <w:r>
        <w:instrText xml:space="preserve"> HYPERLINK \l "_Toc60466325" </w:instrText>
      </w:r>
      <w:r>
        <w:fldChar w:fldCharType="separate"/>
      </w:r>
      <w:r>
        <w:rPr>
          <w:rStyle w:val="15"/>
          <w:rFonts w:hint="eastAsia" w:eastAsia="方正黑体_GBK" w:cs="方正黑体_GBK"/>
          <w:sz w:val="32"/>
          <w:szCs w:val="32"/>
        </w:rPr>
        <w:t>第八篇</w:t>
      </w:r>
      <w:r>
        <w:rPr>
          <w:rStyle w:val="15"/>
          <w:rFonts w:eastAsia="方正黑体_GBK"/>
          <w:sz w:val="32"/>
          <w:szCs w:val="32"/>
        </w:rPr>
        <w:t xml:space="preserve"> </w:t>
      </w:r>
      <w:r>
        <w:rPr>
          <w:rStyle w:val="15"/>
          <w:rFonts w:hint="eastAsia" w:eastAsia="方正黑体_GBK" w:cs="方正黑体_GBK"/>
          <w:sz w:val="32"/>
          <w:szCs w:val="32"/>
        </w:rPr>
        <w:t>坚持创新改革开放，畅通内外双循环，贡献秦淮力量服务新发展格局</w:t>
      </w:r>
      <w:r>
        <w:rPr>
          <w:rFonts w:eastAsia="华文中宋"/>
          <w:sz w:val="32"/>
          <w:szCs w:val="32"/>
        </w:rPr>
        <w:tab/>
      </w:r>
      <w:r>
        <w:rPr>
          <w:rFonts w:eastAsia="华文中宋"/>
          <w:sz w:val="32"/>
          <w:szCs w:val="32"/>
        </w:rPr>
        <w:fldChar w:fldCharType="begin"/>
      </w:r>
      <w:r>
        <w:rPr>
          <w:rFonts w:eastAsia="华文中宋"/>
          <w:sz w:val="32"/>
          <w:szCs w:val="32"/>
        </w:rPr>
        <w:instrText xml:space="preserve"> PAGEREF _Toc60466325 \h </w:instrText>
      </w:r>
      <w:r>
        <w:rPr>
          <w:rFonts w:eastAsia="华文中宋"/>
          <w:sz w:val="32"/>
          <w:szCs w:val="32"/>
        </w:rPr>
        <w:fldChar w:fldCharType="separate"/>
      </w:r>
      <w:r>
        <w:rPr>
          <w:rFonts w:eastAsia="华文中宋"/>
          <w:sz w:val="32"/>
          <w:szCs w:val="32"/>
        </w:rPr>
        <w:t>98</w:t>
      </w:r>
      <w:r>
        <w:rPr>
          <w:rFonts w:eastAsia="华文中宋"/>
          <w:sz w:val="32"/>
          <w:szCs w:val="32"/>
        </w:rPr>
        <w:fldChar w:fldCharType="end"/>
      </w:r>
      <w:r>
        <w:rPr>
          <w:rFonts w:eastAsia="华文中宋"/>
          <w:sz w:val="32"/>
          <w:szCs w:val="32"/>
        </w:rPr>
        <w:fldChar w:fldCharType="end"/>
      </w:r>
    </w:p>
    <w:p w14:paraId="1194FEB8">
      <w:pPr>
        <w:pStyle w:val="11"/>
        <w:tabs>
          <w:tab w:val="right" w:leader="dot" w:pos="8834"/>
        </w:tabs>
        <w:ind w:left="31680"/>
        <w:rPr>
          <w:rFonts w:eastAsia="方正仿宋_GBK"/>
          <w:sz w:val="32"/>
          <w:szCs w:val="32"/>
        </w:rPr>
      </w:pPr>
      <w:r>
        <w:fldChar w:fldCharType="begin"/>
      </w:r>
      <w:r>
        <w:instrText xml:space="preserve"> HYPERLINK \l "_Toc60466326" </w:instrText>
      </w:r>
      <w:r>
        <w:fldChar w:fldCharType="separate"/>
      </w:r>
      <w:r>
        <w:rPr>
          <w:rStyle w:val="15"/>
          <w:rFonts w:hint="eastAsia" w:eastAsia="方正仿宋_GBK" w:cs="方正仿宋_GBK"/>
          <w:sz w:val="32"/>
          <w:szCs w:val="32"/>
        </w:rPr>
        <w:t>第二十九章</w:t>
      </w:r>
      <w:r>
        <w:rPr>
          <w:rStyle w:val="15"/>
          <w:rFonts w:eastAsia="方正仿宋_GBK"/>
          <w:sz w:val="32"/>
          <w:szCs w:val="32"/>
        </w:rPr>
        <w:t xml:space="preserve"> </w:t>
      </w:r>
      <w:r>
        <w:rPr>
          <w:rStyle w:val="15"/>
          <w:rFonts w:hint="eastAsia" w:eastAsia="方正仿宋_GBK" w:cs="方正仿宋_GBK"/>
          <w:sz w:val="32"/>
          <w:szCs w:val="32"/>
        </w:rPr>
        <w:t>深化重点领域改革</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_Toc60466326 \h </w:instrText>
      </w:r>
      <w:r>
        <w:rPr>
          <w:rFonts w:eastAsia="方正仿宋_GBK"/>
          <w:sz w:val="32"/>
          <w:szCs w:val="32"/>
        </w:rPr>
        <w:fldChar w:fldCharType="separate"/>
      </w:r>
      <w:r>
        <w:rPr>
          <w:rFonts w:eastAsia="方正仿宋_GBK"/>
          <w:sz w:val="32"/>
          <w:szCs w:val="32"/>
        </w:rPr>
        <w:t>98</w:t>
      </w:r>
      <w:r>
        <w:rPr>
          <w:rFonts w:eastAsia="方正仿宋_GBK"/>
          <w:sz w:val="32"/>
          <w:szCs w:val="32"/>
        </w:rPr>
        <w:fldChar w:fldCharType="end"/>
      </w:r>
      <w:r>
        <w:rPr>
          <w:rFonts w:eastAsia="方正仿宋_GBK"/>
          <w:sz w:val="32"/>
          <w:szCs w:val="32"/>
        </w:rPr>
        <w:fldChar w:fldCharType="end"/>
      </w:r>
    </w:p>
    <w:p w14:paraId="3BBCD5CD">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"_Toc60466327" </w:instrText>
      </w:r>
      <w:r>
        <w:fldChar w:fldCharType="separate"/>
      </w:r>
      <w:r>
        <w:rPr>
          <w:rStyle w:val="15"/>
          <w:rFonts w:hint="eastAsia" w:ascii="Times New Roman" w:hAnsi="Times New Roman" w:eastAsia="方正楷体_GBK" w:cs="方正楷体_GBK"/>
          <w:sz w:val="32"/>
          <w:szCs w:val="32"/>
        </w:rPr>
        <w:t>第一节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实施经济一体化治理改革</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_Toc60466327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98</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2931AE84">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"_Toc60466328" </w:instrText>
      </w:r>
      <w:r>
        <w:fldChar w:fldCharType="separate"/>
      </w:r>
      <w:r>
        <w:rPr>
          <w:rStyle w:val="15"/>
          <w:rFonts w:hint="eastAsia" w:ascii="Times New Roman" w:hAnsi="Times New Roman" w:eastAsia="方正楷体_GBK" w:cs="方正楷体_GBK"/>
          <w:sz w:val="32"/>
          <w:szCs w:val="32"/>
        </w:rPr>
        <w:t>第二节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深化基层社会治理改革</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_Toc60466328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99</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0D89A979">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"_Toc60466329" </w:instrText>
      </w:r>
      <w:r>
        <w:fldChar w:fldCharType="separate"/>
      </w:r>
      <w:r>
        <w:rPr>
          <w:rStyle w:val="15"/>
          <w:rFonts w:hint="eastAsia" w:ascii="Times New Roman" w:hAnsi="Times New Roman" w:eastAsia="方正楷体_GBK" w:cs="方正楷体_GBK"/>
          <w:sz w:val="32"/>
          <w:szCs w:val="32"/>
        </w:rPr>
        <w:t>第三节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深入打造最优营商环境</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_Toc60466329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100</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5276E403">
      <w:pPr>
        <w:pStyle w:val="6"/>
        <w:tabs>
          <w:tab w:val="right" w:leader="dot" w:pos="8834"/>
        </w:tabs>
        <w:ind w:left="31680"/>
        <w:rPr>
          <w:rFonts w:ascii="Times New Roman" w:hAnsi="Times New Roman" w:eastAsia="方正仿宋_GBK" w:cs="Times New Roman"/>
          <w:sz w:val="32"/>
          <w:szCs w:val="32"/>
        </w:rPr>
      </w:pPr>
      <w:r>
        <w:fldChar w:fldCharType="begin"/>
      </w:r>
      <w:r>
        <w:instrText xml:space="preserve"> HYPERLINK \l "_Toc60466330" </w:instrText>
      </w:r>
      <w:r>
        <w:fldChar w:fldCharType="separate"/>
      </w:r>
      <w:r>
        <w:rPr>
          <w:rStyle w:val="15"/>
          <w:rFonts w:hint="eastAsia" w:ascii="Times New Roman" w:hAnsi="Times New Roman" w:eastAsia="方正楷体_GBK" w:cs="方正楷体_GBK"/>
          <w:sz w:val="32"/>
          <w:szCs w:val="32"/>
        </w:rPr>
        <w:t>第四节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推进国有企业市场化改革</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_Toc60466330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101</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4C780199">
      <w:pPr>
        <w:pStyle w:val="11"/>
        <w:tabs>
          <w:tab w:val="right" w:leader="dot" w:pos="8834"/>
        </w:tabs>
        <w:ind w:left="31680"/>
        <w:rPr>
          <w:rFonts w:eastAsia="方正仿宋_GBK"/>
          <w:sz w:val="32"/>
          <w:szCs w:val="32"/>
        </w:rPr>
      </w:pPr>
      <w:r>
        <w:fldChar w:fldCharType="begin"/>
      </w:r>
      <w:r>
        <w:instrText xml:space="preserve"> HYPERLINK \l "_Toc60466331" </w:instrText>
      </w:r>
      <w:r>
        <w:fldChar w:fldCharType="separate"/>
      </w:r>
      <w:r>
        <w:rPr>
          <w:rStyle w:val="15"/>
          <w:rFonts w:hint="eastAsia" w:eastAsia="方正仿宋_GBK" w:cs="方正仿宋_GBK"/>
          <w:sz w:val="32"/>
          <w:szCs w:val="32"/>
        </w:rPr>
        <w:t>第三十章</w:t>
      </w:r>
      <w:r>
        <w:rPr>
          <w:rStyle w:val="15"/>
          <w:rFonts w:eastAsia="方正仿宋_GBK"/>
          <w:sz w:val="32"/>
          <w:szCs w:val="32"/>
        </w:rPr>
        <w:t xml:space="preserve"> </w:t>
      </w:r>
      <w:r>
        <w:rPr>
          <w:rStyle w:val="15"/>
          <w:rFonts w:hint="eastAsia" w:eastAsia="方正仿宋_GBK" w:cs="方正仿宋_GBK"/>
          <w:sz w:val="32"/>
          <w:szCs w:val="32"/>
        </w:rPr>
        <w:t>深入扩大有效需求</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_Toc60466331 \h </w:instrText>
      </w:r>
      <w:r>
        <w:rPr>
          <w:rFonts w:eastAsia="方正仿宋_GBK"/>
          <w:sz w:val="32"/>
          <w:szCs w:val="32"/>
        </w:rPr>
        <w:fldChar w:fldCharType="separate"/>
      </w:r>
      <w:r>
        <w:rPr>
          <w:rFonts w:eastAsia="方正仿宋_GBK"/>
          <w:sz w:val="32"/>
          <w:szCs w:val="32"/>
        </w:rPr>
        <w:t>102</w:t>
      </w:r>
      <w:r>
        <w:rPr>
          <w:rFonts w:eastAsia="方正仿宋_GBK"/>
          <w:sz w:val="32"/>
          <w:szCs w:val="32"/>
        </w:rPr>
        <w:fldChar w:fldCharType="end"/>
      </w:r>
      <w:r>
        <w:rPr>
          <w:rFonts w:eastAsia="方正仿宋_GBK"/>
          <w:sz w:val="32"/>
          <w:szCs w:val="32"/>
        </w:rPr>
        <w:fldChar w:fldCharType="end"/>
      </w:r>
    </w:p>
    <w:p w14:paraId="06591243">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"_Toc60466332" </w:instrText>
      </w:r>
      <w:r>
        <w:fldChar w:fldCharType="separate"/>
      </w:r>
      <w:r>
        <w:rPr>
          <w:rStyle w:val="15"/>
          <w:rFonts w:hint="eastAsia" w:ascii="Times New Roman" w:hAnsi="Times New Roman" w:eastAsia="方正楷体_GBK" w:cs="方正楷体_GBK"/>
          <w:sz w:val="32"/>
          <w:szCs w:val="32"/>
        </w:rPr>
        <w:t>第一节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建设区域综合消费中心</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_Toc60466332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102</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3764DCF0">
      <w:pPr>
        <w:pStyle w:val="6"/>
        <w:tabs>
          <w:tab w:val="right" w:leader="dot" w:pos="8834"/>
        </w:tabs>
        <w:ind w:left="31680"/>
        <w:rPr>
          <w:rFonts w:ascii="Times New Roman" w:hAnsi="Times New Roman" w:eastAsia="方正仿宋_GBK" w:cs="Times New Roman"/>
          <w:sz w:val="32"/>
          <w:szCs w:val="32"/>
        </w:rPr>
      </w:pPr>
      <w:r>
        <w:fldChar w:fldCharType="begin"/>
      </w:r>
      <w:r>
        <w:instrText xml:space="preserve"> HYPERLINK \l "_Toc60466333" </w:instrText>
      </w:r>
      <w:r>
        <w:fldChar w:fldCharType="separate"/>
      </w:r>
      <w:r>
        <w:rPr>
          <w:rStyle w:val="15"/>
          <w:rFonts w:hint="eastAsia" w:ascii="Times New Roman" w:hAnsi="Times New Roman" w:eastAsia="方正楷体_GBK" w:cs="方正楷体_GBK"/>
          <w:sz w:val="32"/>
          <w:szCs w:val="32"/>
        </w:rPr>
        <w:t>第二节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放大项目投资牵引作用</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_Toc60466333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103</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258BA271">
      <w:pPr>
        <w:pStyle w:val="11"/>
        <w:tabs>
          <w:tab w:val="right" w:leader="dot" w:pos="8834"/>
        </w:tabs>
        <w:ind w:left="31680"/>
        <w:rPr>
          <w:rFonts w:eastAsia="方正仿宋_GBK"/>
          <w:sz w:val="32"/>
          <w:szCs w:val="32"/>
        </w:rPr>
      </w:pPr>
      <w:r>
        <w:fldChar w:fldCharType="begin"/>
      </w:r>
      <w:r>
        <w:instrText xml:space="preserve"> HYPERLINK \l "_Toc60466334" </w:instrText>
      </w:r>
      <w:r>
        <w:fldChar w:fldCharType="separate"/>
      </w:r>
      <w:r>
        <w:rPr>
          <w:rStyle w:val="15"/>
          <w:rFonts w:hint="eastAsia" w:eastAsia="方正仿宋_GBK" w:cs="方正仿宋_GBK"/>
          <w:sz w:val="32"/>
          <w:szCs w:val="32"/>
        </w:rPr>
        <w:t>第三十一章</w:t>
      </w:r>
      <w:r>
        <w:rPr>
          <w:rStyle w:val="15"/>
          <w:rFonts w:eastAsia="方正仿宋_GBK"/>
          <w:sz w:val="32"/>
          <w:szCs w:val="32"/>
        </w:rPr>
        <w:t xml:space="preserve"> </w:t>
      </w:r>
      <w:r>
        <w:rPr>
          <w:rStyle w:val="15"/>
          <w:rFonts w:hint="eastAsia" w:eastAsia="方正仿宋_GBK" w:cs="方正仿宋_GBK"/>
          <w:sz w:val="32"/>
          <w:szCs w:val="32"/>
        </w:rPr>
        <w:t>拓展外向发展空间</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_Toc60466334 \h </w:instrText>
      </w:r>
      <w:r>
        <w:rPr>
          <w:rFonts w:eastAsia="方正仿宋_GBK"/>
          <w:sz w:val="32"/>
          <w:szCs w:val="32"/>
        </w:rPr>
        <w:fldChar w:fldCharType="separate"/>
      </w:r>
      <w:r>
        <w:rPr>
          <w:rFonts w:eastAsia="方正仿宋_GBK"/>
          <w:sz w:val="32"/>
          <w:szCs w:val="32"/>
        </w:rPr>
        <w:t>104</w:t>
      </w:r>
      <w:r>
        <w:rPr>
          <w:rFonts w:eastAsia="方正仿宋_GBK"/>
          <w:sz w:val="32"/>
          <w:szCs w:val="32"/>
        </w:rPr>
        <w:fldChar w:fldCharType="end"/>
      </w:r>
      <w:r>
        <w:rPr>
          <w:rFonts w:eastAsia="方正仿宋_GBK"/>
          <w:sz w:val="32"/>
          <w:szCs w:val="32"/>
        </w:rPr>
        <w:fldChar w:fldCharType="end"/>
      </w:r>
    </w:p>
    <w:p w14:paraId="4327EC25">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"_Toc60466335" </w:instrText>
      </w:r>
      <w:r>
        <w:fldChar w:fldCharType="separate"/>
      </w:r>
      <w:r>
        <w:rPr>
          <w:rStyle w:val="15"/>
          <w:rFonts w:hint="eastAsia" w:ascii="Times New Roman" w:hAnsi="Times New Roman" w:eastAsia="方正楷体_GBK" w:cs="方正楷体_GBK"/>
          <w:sz w:val="32"/>
          <w:szCs w:val="32"/>
        </w:rPr>
        <w:t>第一节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积极融入国家战略</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_Toc60466335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104</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505A5834">
      <w:pPr>
        <w:pStyle w:val="6"/>
        <w:tabs>
          <w:tab w:val="right" w:leader="dot" w:pos="8834"/>
        </w:tabs>
        <w:ind w:left="31680"/>
        <w:rPr>
          <w:rFonts w:ascii="Times New Roman" w:hAnsi="Times New Roman" w:eastAsia="华文中宋" w:cs="Times New Roman"/>
          <w:sz w:val="32"/>
          <w:szCs w:val="32"/>
        </w:rPr>
      </w:pPr>
      <w:r>
        <w:fldChar w:fldCharType="begin"/>
      </w:r>
      <w:r>
        <w:instrText xml:space="preserve"> HYPERLINK \l "_Toc60466336" </w:instrText>
      </w:r>
      <w:r>
        <w:fldChar w:fldCharType="separate"/>
      </w:r>
      <w:r>
        <w:rPr>
          <w:rStyle w:val="15"/>
          <w:rFonts w:hint="eastAsia" w:ascii="Times New Roman" w:hAnsi="Times New Roman" w:eastAsia="方正楷体_GBK" w:cs="方正楷体_GBK"/>
          <w:sz w:val="32"/>
          <w:szCs w:val="32"/>
        </w:rPr>
        <w:t>第二节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加强有效国际交流</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_Toc60466336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105</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23D7DB5A">
      <w:pPr>
        <w:pStyle w:val="9"/>
        <w:tabs>
          <w:tab w:val="right" w:leader="dot" w:pos="8834"/>
        </w:tabs>
        <w:rPr>
          <w:rFonts w:eastAsia="华文中宋"/>
          <w:sz w:val="32"/>
          <w:szCs w:val="32"/>
        </w:rPr>
      </w:pPr>
      <w:r>
        <w:fldChar w:fldCharType="begin"/>
      </w:r>
      <w:r>
        <w:instrText xml:space="preserve"> HYPERLINK \l "_Toc60466337" </w:instrText>
      </w:r>
      <w:r>
        <w:fldChar w:fldCharType="separate"/>
      </w:r>
      <w:r>
        <w:rPr>
          <w:rStyle w:val="15"/>
          <w:rFonts w:hint="eastAsia" w:eastAsia="方正黑体_GBK" w:cs="方正黑体_GBK"/>
          <w:sz w:val="32"/>
          <w:szCs w:val="32"/>
        </w:rPr>
        <w:t>第九篇</w:t>
      </w:r>
      <w:r>
        <w:rPr>
          <w:rStyle w:val="15"/>
          <w:rFonts w:eastAsia="方正黑体_GBK"/>
          <w:sz w:val="32"/>
          <w:szCs w:val="32"/>
        </w:rPr>
        <w:t xml:space="preserve"> </w:t>
      </w:r>
      <w:r>
        <w:rPr>
          <w:rStyle w:val="15"/>
          <w:rFonts w:hint="eastAsia" w:eastAsia="方正黑体_GBK" w:cs="方正黑体_GBK"/>
          <w:sz w:val="32"/>
          <w:szCs w:val="32"/>
        </w:rPr>
        <w:t>严防严控重大风险，建设安全韧性城市，推进平安秦淮迈上新台阶</w:t>
      </w:r>
      <w:r>
        <w:rPr>
          <w:rFonts w:eastAsia="华文中宋"/>
          <w:sz w:val="32"/>
          <w:szCs w:val="32"/>
        </w:rPr>
        <w:tab/>
      </w:r>
      <w:r>
        <w:rPr>
          <w:rFonts w:eastAsia="华文中宋"/>
          <w:sz w:val="32"/>
          <w:szCs w:val="32"/>
        </w:rPr>
        <w:fldChar w:fldCharType="begin"/>
      </w:r>
      <w:r>
        <w:rPr>
          <w:rFonts w:eastAsia="华文中宋"/>
          <w:sz w:val="32"/>
          <w:szCs w:val="32"/>
        </w:rPr>
        <w:instrText xml:space="preserve"> PAGEREF _Toc60466337 \h </w:instrText>
      </w:r>
      <w:r>
        <w:rPr>
          <w:rFonts w:eastAsia="华文中宋"/>
          <w:sz w:val="32"/>
          <w:szCs w:val="32"/>
        </w:rPr>
        <w:fldChar w:fldCharType="separate"/>
      </w:r>
      <w:r>
        <w:rPr>
          <w:rFonts w:eastAsia="华文中宋"/>
          <w:sz w:val="32"/>
          <w:szCs w:val="32"/>
        </w:rPr>
        <w:t>106</w:t>
      </w:r>
      <w:r>
        <w:rPr>
          <w:rFonts w:eastAsia="华文中宋"/>
          <w:sz w:val="32"/>
          <w:szCs w:val="32"/>
        </w:rPr>
        <w:fldChar w:fldCharType="end"/>
      </w:r>
      <w:r>
        <w:rPr>
          <w:rFonts w:eastAsia="华文中宋"/>
          <w:sz w:val="32"/>
          <w:szCs w:val="32"/>
        </w:rPr>
        <w:fldChar w:fldCharType="end"/>
      </w:r>
    </w:p>
    <w:p w14:paraId="596523A8">
      <w:pPr>
        <w:pStyle w:val="11"/>
        <w:tabs>
          <w:tab w:val="right" w:leader="dot" w:pos="8834"/>
        </w:tabs>
        <w:ind w:left="31680"/>
        <w:rPr>
          <w:rFonts w:eastAsia="方正仿宋_GBK"/>
          <w:sz w:val="32"/>
          <w:szCs w:val="32"/>
        </w:rPr>
      </w:pPr>
      <w:r>
        <w:fldChar w:fldCharType="begin"/>
      </w:r>
      <w:r>
        <w:instrText xml:space="preserve"> HYPERLINK \l "_Toc60466338" </w:instrText>
      </w:r>
      <w:r>
        <w:fldChar w:fldCharType="separate"/>
      </w:r>
      <w:r>
        <w:rPr>
          <w:rStyle w:val="15"/>
          <w:rFonts w:hint="eastAsia" w:eastAsia="方正仿宋_GBK" w:cs="方正仿宋_GBK"/>
          <w:sz w:val="32"/>
          <w:szCs w:val="32"/>
        </w:rPr>
        <w:t>第三十二章</w:t>
      </w:r>
      <w:r>
        <w:rPr>
          <w:rStyle w:val="15"/>
          <w:rFonts w:eastAsia="方正仿宋_GBK"/>
          <w:sz w:val="32"/>
          <w:szCs w:val="32"/>
        </w:rPr>
        <w:t xml:space="preserve"> </w:t>
      </w:r>
      <w:r>
        <w:rPr>
          <w:rStyle w:val="15"/>
          <w:rFonts w:hint="eastAsia" w:eastAsia="方正仿宋_GBK" w:cs="方正仿宋_GBK"/>
          <w:sz w:val="32"/>
          <w:szCs w:val="32"/>
        </w:rPr>
        <w:t>坚决捍卫国家安全</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_Toc60466338 \h </w:instrText>
      </w:r>
      <w:r>
        <w:rPr>
          <w:rFonts w:eastAsia="方正仿宋_GBK"/>
          <w:sz w:val="32"/>
          <w:szCs w:val="32"/>
        </w:rPr>
        <w:fldChar w:fldCharType="separate"/>
      </w:r>
      <w:r>
        <w:rPr>
          <w:rFonts w:eastAsia="方正仿宋_GBK"/>
          <w:sz w:val="32"/>
          <w:szCs w:val="32"/>
        </w:rPr>
        <w:t>106</w:t>
      </w:r>
      <w:r>
        <w:rPr>
          <w:rFonts w:eastAsia="方正仿宋_GBK"/>
          <w:sz w:val="32"/>
          <w:szCs w:val="32"/>
        </w:rPr>
        <w:fldChar w:fldCharType="end"/>
      </w:r>
      <w:r>
        <w:rPr>
          <w:rFonts w:eastAsia="方正仿宋_GBK"/>
          <w:sz w:val="32"/>
          <w:szCs w:val="32"/>
        </w:rPr>
        <w:fldChar w:fldCharType="end"/>
      </w:r>
    </w:p>
    <w:p w14:paraId="6C50B0BE">
      <w:pPr>
        <w:pStyle w:val="11"/>
        <w:tabs>
          <w:tab w:val="right" w:leader="dot" w:pos="8834"/>
        </w:tabs>
        <w:ind w:left="31680"/>
        <w:rPr>
          <w:rFonts w:eastAsia="方正仿宋_GBK"/>
          <w:sz w:val="32"/>
          <w:szCs w:val="32"/>
        </w:rPr>
      </w:pPr>
      <w:r>
        <w:fldChar w:fldCharType="begin"/>
      </w:r>
      <w:r>
        <w:instrText xml:space="preserve"> HYPERLINK \l "_Toc60466339" </w:instrText>
      </w:r>
      <w:r>
        <w:fldChar w:fldCharType="separate"/>
      </w:r>
      <w:r>
        <w:rPr>
          <w:rStyle w:val="15"/>
          <w:rFonts w:hint="eastAsia" w:eastAsia="方正仿宋_GBK" w:cs="方正仿宋_GBK"/>
          <w:sz w:val="32"/>
          <w:szCs w:val="32"/>
        </w:rPr>
        <w:t>第三十三章</w:t>
      </w:r>
      <w:r>
        <w:rPr>
          <w:rStyle w:val="15"/>
          <w:rFonts w:eastAsia="方正仿宋_GBK"/>
          <w:sz w:val="32"/>
          <w:szCs w:val="32"/>
        </w:rPr>
        <w:t xml:space="preserve"> </w:t>
      </w:r>
      <w:r>
        <w:rPr>
          <w:rStyle w:val="15"/>
          <w:rFonts w:hint="eastAsia" w:eastAsia="方正仿宋_GBK" w:cs="方正仿宋_GBK"/>
          <w:sz w:val="32"/>
          <w:szCs w:val="32"/>
        </w:rPr>
        <w:t>注重防控重大风险</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_Toc60466339 \h </w:instrText>
      </w:r>
      <w:r>
        <w:rPr>
          <w:rFonts w:eastAsia="方正仿宋_GBK"/>
          <w:sz w:val="32"/>
          <w:szCs w:val="32"/>
        </w:rPr>
        <w:fldChar w:fldCharType="separate"/>
      </w:r>
      <w:r>
        <w:rPr>
          <w:rFonts w:eastAsia="方正仿宋_GBK"/>
          <w:sz w:val="32"/>
          <w:szCs w:val="32"/>
        </w:rPr>
        <w:t>106</w:t>
      </w:r>
      <w:r>
        <w:rPr>
          <w:rFonts w:eastAsia="方正仿宋_GBK"/>
          <w:sz w:val="32"/>
          <w:szCs w:val="32"/>
        </w:rPr>
        <w:fldChar w:fldCharType="end"/>
      </w:r>
      <w:r>
        <w:rPr>
          <w:rFonts w:eastAsia="方正仿宋_GBK"/>
          <w:sz w:val="32"/>
          <w:szCs w:val="32"/>
        </w:rPr>
        <w:fldChar w:fldCharType="end"/>
      </w:r>
    </w:p>
    <w:p w14:paraId="487035E3">
      <w:pPr>
        <w:pStyle w:val="11"/>
        <w:tabs>
          <w:tab w:val="right" w:leader="dot" w:pos="8834"/>
        </w:tabs>
        <w:ind w:left="31680"/>
        <w:rPr>
          <w:rFonts w:eastAsia="方正仿宋_GBK"/>
          <w:sz w:val="32"/>
          <w:szCs w:val="32"/>
        </w:rPr>
      </w:pPr>
      <w:r>
        <w:fldChar w:fldCharType="begin"/>
      </w:r>
      <w:r>
        <w:instrText xml:space="preserve"> HYPERLINK \l "_Toc60466340" </w:instrText>
      </w:r>
      <w:r>
        <w:fldChar w:fldCharType="separate"/>
      </w:r>
      <w:r>
        <w:rPr>
          <w:rStyle w:val="15"/>
          <w:rFonts w:hint="eastAsia" w:eastAsia="方正仿宋_GBK" w:cs="方正仿宋_GBK"/>
          <w:sz w:val="32"/>
          <w:szCs w:val="32"/>
        </w:rPr>
        <w:t>第三十四章</w:t>
      </w:r>
      <w:r>
        <w:rPr>
          <w:rStyle w:val="15"/>
          <w:rFonts w:eastAsia="方正仿宋_GBK"/>
          <w:sz w:val="32"/>
          <w:szCs w:val="32"/>
        </w:rPr>
        <w:t xml:space="preserve"> </w:t>
      </w:r>
      <w:r>
        <w:rPr>
          <w:rStyle w:val="15"/>
          <w:rFonts w:hint="eastAsia" w:eastAsia="方正仿宋_GBK" w:cs="方正仿宋_GBK"/>
          <w:sz w:val="32"/>
          <w:szCs w:val="32"/>
        </w:rPr>
        <w:t>健全应急管理体系</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_Toc60466340 \h </w:instrText>
      </w:r>
      <w:r>
        <w:rPr>
          <w:rFonts w:eastAsia="方正仿宋_GBK"/>
          <w:sz w:val="32"/>
          <w:szCs w:val="32"/>
        </w:rPr>
        <w:fldChar w:fldCharType="separate"/>
      </w:r>
      <w:r>
        <w:rPr>
          <w:rFonts w:eastAsia="方正仿宋_GBK"/>
          <w:sz w:val="32"/>
          <w:szCs w:val="32"/>
        </w:rPr>
        <w:t>107</w:t>
      </w:r>
      <w:r>
        <w:rPr>
          <w:rFonts w:eastAsia="方正仿宋_GBK"/>
          <w:sz w:val="32"/>
          <w:szCs w:val="32"/>
        </w:rPr>
        <w:fldChar w:fldCharType="end"/>
      </w:r>
      <w:r>
        <w:rPr>
          <w:rFonts w:eastAsia="方正仿宋_GBK"/>
          <w:sz w:val="32"/>
          <w:szCs w:val="32"/>
        </w:rPr>
        <w:fldChar w:fldCharType="end"/>
      </w:r>
    </w:p>
    <w:p w14:paraId="1B7E6F9B">
      <w:pPr>
        <w:pStyle w:val="11"/>
        <w:tabs>
          <w:tab w:val="right" w:leader="dot" w:pos="8834"/>
        </w:tabs>
        <w:ind w:left="31680"/>
        <w:rPr>
          <w:rFonts w:eastAsia="华文中宋"/>
          <w:sz w:val="32"/>
          <w:szCs w:val="32"/>
        </w:rPr>
      </w:pPr>
      <w:r>
        <w:fldChar w:fldCharType="begin"/>
      </w:r>
      <w:r>
        <w:instrText xml:space="preserve"> HYPERLINK \l "_Toc60466341" </w:instrText>
      </w:r>
      <w:r>
        <w:fldChar w:fldCharType="separate"/>
      </w:r>
      <w:r>
        <w:rPr>
          <w:rStyle w:val="15"/>
          <w:rFonts w:hint="eastAsia" w:eastAsia="方正仿宋_GBK" w:cs="方正仿宋_GBK"/>
          <w:sz w:val="32"/>
          <w:szCs w:val="32"/>
        </w:rPr>
        <w:t>第三十五章</w:t>
      </w:r>
      <w:r>
        <w:rPr>
          <w:rStyle w:val="15"/>
          <w:rFonts w:eastAsia="方正仿宋_GBK"/>
          <w:sz w:val="32"/>
          <w:szCs w:val="32"/>
        </w:rPr>
        <w:t xml:space="preserve"> </w:t>
      </w:r>
      <w:r>
        <w:rPr>
          <w:rStyle w:val="15"/>
          <w:rFonts w:hint="eastAsia" w:eastAsia="方正仿宋_GBK" w:cs="方正仿宋_GBK"/>
          <w:sz w:val="32"/>
          <w:szCs w:val="32"/>
        </w:rPr>
        <w:t>提升安全服务能力</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_Toc60466341 \h </w:instrText>
      </w:r>
      <w:r>
        <w:rPr>
          <w:rFonts w:eastAsia="方正仿宋_GBK"/>
          <w:sz w:val="32"/>
          <w:szCs w:val="32"/>
        </w:rPr>
        <w:fldChar w:fldCharType="separate"/>
      </w:r>
      <w:r>
        <w:rPr>
          <w:rFonts w:eastAsia="方正仿宋_GBK"/>
          <w:sz w:val="32"/>
          <w:szCs w:val="32"/>
        </w:rPr>
        <w:t>108</w:t>
      </w:r>
      <w:r>
        <w:rPr>
          <w:rFonts w:eastAsia="方正仿宋_GBK"/>
          <w:sz w:val="32"/>
          <w:szCs w:val="32"/>
        </w:rPr>
        <w:fldChar w:fldCharType="end"/>
      </w:r>
      <w:r>
        <w:rPr>
          <w:rFonts w:eastAsia="方正仿宋_GBK"/>
          <w:sz w:val="32"/>
          <w:szCs w:val="32"/>
        </w:rPr>
        <w:fldChar w:fldCharType="end"/>
      </w:r>
    </w:p>
    <w:p w14:paraId="29A5E1E1">
      <w:pPr>
        <w:pStyle w:val="9"/>
        <w:tabs>
          <w:tab w:val="right" w:leader="dot" w:pos="8834"/>
        </w:tabs>
        <w:rPr>
          <w:rFonts w:eastAsia="华文中宋"/>
          <w:sz w:val="32"/>
          <w:szCs w:val="32"/>
        </w:rPr>
      </w:pPr>
      <w:r>
        <w:fldChar w:fldCharType="begin"/>
      </w:r>
      <w:r>
        <w:instrText xml:space="preserve"> HYPERLINK \l "_Toc60466342" </w:instrText>
      </w:r>
      <w:r>
        <w:fldChar w:fldCharType="separate"/>
      </w:r>
      <w:r>
        <w:rPr>
          <w:rStyle w:val="15"/>
          <w:rFonts w:hint="eastAsia" w:eastAsia="方正黑体_GBK" w:cs="方正黑体_GBK"/>
          <w:sz w:val="32"/>
          <w:szCs w:val="32"/>
        </w:rPr>
        <w:t>第十篇</w:t>
      </w:r>
      <w:r>
        <w:rPr>
          <w:rStyle w:val="15"/>
          <w:rFonts w:eastAsia="方正黑体_GBK"/>
          <w:sz w:val="32"/>
          <w:szCs w:val="32"/>
        </w:rPr>
        <w:t xml:space="preserve"> </w:t>
      </w:r>
      <w:r>
        <w:rPr>
          <w:rStyle w:val="15"/>
          <w:rFonts w:hint="eastAsia" w:eastAsia="方正黑体_GBK" w:cs="方正黑体_GBK"/>
          <w:sz w:val="32"/>
          <w:szCs w:val="32"/>
        </w:rPr>
        <w:t>完善顶层设计体系，强化数字赋权赋能，建立智慧秦淮发展新支撑</w:t>
      </w:r>
      <w:r>
        <w:rPr>
          <w:rFonts w:eastAsia="华文中宋"/>
          <w:sz w:val="32"/>
          <w:szCs w:val="32"/>
        </w:rPr>
        <w:tab/>
      </w:r>
      <w:r>
        <w:rPr>
          <w:rFonts w:eastAsia="华文中宋"/>
          <w:sz w:val="32"/>
          <w:szCs w:val="32"/>
        </w:rPr>
        <w:fldChar w:fldCharType="begin"/>
      </w:r>
      <w:r>
        <w:rPr>
          <w:rFonts w:eastAsia="华文中宋"/>
          <w:sz w:val="32"/>
          <w:szCs w:val="32"/>
        </w:rPr>
        <w:instrText xml:space="preserve"> PAGEREF _Toc60466342 \h </w:instrText>
      </w:r>
      <w:r>
        <w:rPr>
          <w:rFonts w:eastAsia="华文中宋"/>
          <w:sz w:val="32"/>
          <w:szCs w:val="32"/>
        </w:rPr>
        <w:fldChar w:fldCharType="separate"/>
      </w:r>
      <w:r>
        <w:rPr>
          <w:rFonts w:eastAsia="华文中宋"/>
          <w:sz w:val="32"/>
          <w:szCs w:val="32"/>
        </w:rPr>
        <w:t>109</w:t>
      </w:r>
      <w:r>
        <w:rPr>
          <w:rFonts w:eastAsia="华文中宋"/>
          <w:sz w:val="32"/>
          <w:szCs w:val="32"/>
        </w:rPr>
        <w:fldChar w:fldCharType="end"/>
      </w:r>
      <w:r>
        <w:rPr>
          <w:rFonts w:eastAsia="华文中宋"/>
          <w:sz w:val="32"/>
          <w:szCs w:val="32"/>
        </w:rPr>
        <w:fldChar w:fldCharType="end"/>
      </w:r>
    </w:p>
    <w:p w14:paraId="0645F5F8">
      <w:pPr>
        <w:pStyle w:val="11"/>
        <w:tabs>
          <w:tab w:val="right" w:leader="dot" w:pos="8834"/>
        </w:tabs>
        <w:ind w:left="31680"/>
        <w:rPr>
          <w:rFonts w:eastAsia="方正仿宋_GBK"/>
          <w:sz w:val="32"/>
          <w:szCs w:val="32"/>
        </w:rPr>
      </w:pPr>
      <w:r>
        <w:fldChar w:fldCharType="begin"/>
      </w:r>
      <w:r>
        <w:instrText xml:space="preserve"> HYPERLINK \l "_Toc60466343" </w:instrText>
      </w:r>
      <w:r>
        <w:fldChar w:fldCharType="separate"/>
      </w:r>
      <w:r>
        <w:rPr>
          <w:rStyle w:val="15"/>
          <w:rFonts w:hint="eastAsia" w:eastAsia="方正仿宋_GBK" w:cs="方正仿宋_GBK"/>
          <w:sz w:val="32"/>
          <w:szCs w:val="32"/>
        </w:rPr>
        <w:t>第三十六章</w:t>
      </w:r>
      <w:r>
        <w:rPr>
          <w:rStyle w:val="15"/>
          <w:rFonts w:eastAsia="方正仿宋_GBK"/>
          <w:sz w:val="32"/>
          <w:szCs w:val="32"/>
        </w:rPr>
        <w:t xml:space="preserve"> </w:t>
      </w:r>
      <w:r>
        <w:rPr>
          <w:rStyle w:val="15"/>
          <w:rFonts w:hint="eastAsia" w:eastAsia="方正仿宋_GBK" w:cs="方正仿宋_GBK"/>
          <w:sz w:val="32"/>
          <w:szCs w:val="32"/>
        </w:rPr>
        <w:t>完善智慧秦淮顶层设计</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_Toc60466343 \h </w:instrText>
      </w:r>
      <w:r>
        <w:rPr>
          <w:rFonts w:eastAsia="方正仿宋_GBK"/>
          <w:sz w:val="32"/>
          <w:szCs w:val="32"/>
        </w:rPr>
        <w:fldChar w:fldCharType="separate"/>
      </w:r>
      <w:r>
        <w:rPr>
          <w:rFonts w:eastAsia="方正仿宋_GBK"/>
          <w:sz w:val="32"/>
          <w:szCs w:val="32"/>
        </w:rPr>
        <w:t>109</w:t>
      </w:r>
      <w:r>
        <w:rPr>
          <w:rFonts w:eastAsia="方正仿宋_GBK"/>
          <w:sz w:val="32"/>
          <w:szCs w:val="32"/>
        </w:rPr>
        <w:fldChar w:fldCharType="end"/>
      </w:r>
      <w:r>
        <w:rPr>
          <w:rFonts w:eastAsia="方正仿宋_GBK"/>
          <w:sz w:val="32"/>
          <w:szCs w:val="32"/>
        </w:rPr>
        <w:fldChar w:fldCharType="end"/>
      </w:r>
    </w:p>
    <w:p w14:paraId="60C40B68">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"_Toc60466344" </w:instrText>
      </w:r>
      <w:r>
        <w:fldChar w:fldCharType="separate"/>
      </w:r>
      <w:r>
        <w:rPr>
          <w:rStyle w:val="15"/>
          <w:rFonts w:hint="eastAsia" w:ascii="Times New Roman" w:hAnsi="Times New Roman" w:eastAsia="方正楷体_GBK" w:cs="方正楷体_GBK"/>
          <w:sz w:val="32"/>
          <w:szCs w:val="32"/>
        </w:rPr>
        <w:t>第一节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打通形成基础数据平台</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_Toc60466344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109</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15DA09E8">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"_Toc60466345" </w:instrText>
      </w:r>
      <w:r>
        <w:fldChar w:fldCharType="separate"/>
      </w:r>
      <w:r>
        <w:rPr>
          <w:rStyle w:val="15"/>
          <w:rFonts w:hint="eastAsia" w:ascii="Times New Roman" w:hAnsi="Times New Roman" w:eastAsia="方正楷体_GBK" w:cs="方正楷体_GBK"/>
          <w:sz w:val="32"/>
          <w:szCs w:val="32"/>
        </w:rPr>
        <w:t>第二节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完成基础设施功能建设</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_Toc60466345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110</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5495C388">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"_Toc60466346" </w:instrText>
      </w:r>
      <w:r>
        <w:fldChar w:fldCharType="separate"/>
      </w:r>
      <w:r>
        <w:rPr>
          <w:rStyle w:val="15"/>
          <w:rFonts w:hint="eastAsia" w:ascii="Times New Roman" w:hAnsi="Times New Roman" w:eastAsia="方正楷体_GBK" w:cs="方正楷体_GBK"/>
          <w:sz w:val="32"/>
          <w:szCs w:val="32"/>
        </w:rPr>
        <w:t>第三节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增强数据风险控制能力</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_Toc60466346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110</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47A7F2F2">
      <w:pPr>
        <w:pStyle w:val="6"/>
        <w:tabs>
          <w:tab w:val="right" w:leader="dot" w:pos="8834"/>
        </w:tabs>
        <w:ind w:left="31680"/>
        <w:rPr>
          <w:rFonts w:ascii="Times New Roman" w:hAnsi="Times New Roman" w:eastAsia="方正仿宋_GBK" w:cs="Times New Roman"/>
          <w:sz w:val="32"/>
          <w:szCs w:val="32"/>
        </w:rPr>
      </w:pPr>
      <w:r>
        <w:fldChar w:fldCharType="begin"/>
      </w:r>
      <w:r>
        <w:instrText xml:space="preserve"> HYPERLINK \l "_Toc60466347" </w:instrText>
      </w:r>
      <w:r>
        <w:fldChar w:fldCharType="separate"/>
      </w:r>
      <w:r>
        <w:rPr>
          <w:rStyle w:val="15"/>
          <w:rFonts w:hint="eastAsia" w:ascii="Times New Roman" w:hAnsi="Times New Roman" w:eastAsia="方正楷体_GBK" w:cs="方正楷体_GBK"/>
          <w:sz w:val="32"/>
          <w:szCs w:val="32"/>
        </w:rPr>
        <w:t>第四节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增强数据资产运管能力</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_Toc60466347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111</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4C7351B2">
      <w:pPr>
        <w:pStyle w:val="11"/>
        <w:tabs>
          <w:tab w:val="right" w:leader="dot" w:pos="8834"/>
        </w:tabs>
        <w:ind w:left="31680"/>
        <w:rPr>
          <w:rFonts w:eastAsia="方正仿宋_GBK"/>
          <w:sz w:val="32"/>
          <w:szCs w:val="32"/>
        </w:rPr>
      </w:pPr>
      <w:r>
        <w:fldChar w:fldCharType="begin"/>
      </w:r>
      <w:r>
        <w:instrText xml:space="preserve"> HYPERLINK \l "_Toc60466348" </w:instrText>
      </w:r>
      <w:r>
        <w:fldChar w:fldCharType="separate"/>
      </w:r>
      <w:r>
        <w:rPr>
          <w:rStyle w:val="15"/>
          <w:rFonts w:hint="eastAsia" w:eastAsia="方正仿宋_GBK" w:cs="方正仿宋_GBK"/>
          <w:sz w:val="32"/>
          <w:szCs w:val="32"/>
        </w:rPr>
        <w:t>第三十七章</w:t>
      </w:r>
      <w:r>
        <w:rPr>
          <w:rStyle w:val="15"/>
          <w:rFonts w:eastAsia="方正仿宋_GBK"/>
          <w:sz w:val="32"/>
          <w:szCs w:val="32"/>
        </w:rPr>
        <w:t xml:space="preserve"> </w:t>
      </w:r>
      <w:r>
        <w:rPr>
          <w:rStyle w:val="15"/>
          <w:rFonts w:hint="eastAsia" w:eastAsia="方正仿宋_GBK" w:cs="方正仿宋_GBK"/>
          <w:sz w:val="32"/>
          <w:szCs w:val="32"/>
        </w:rPr>
        <w:t>充实智慧秦淮管理服务功能</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_Toc60466348 \h </w:instrText>
      </w:r>
      <w:r>
        <w:rPr>
          <w:rFonts w:eastAsia="方正仿宋_GBK"/>
          <w:sz w:val="32"/>
          <w:szCs w:val="32"/>
        </w:rPr>
        <w:fldChar w:fldCharType="separate"/>
      </w:r>
      <w:r>
        <w:rPr>
          <w:rFonts w:eastAsia="方正仿宋_GBK"/>
          <w:sz w:val="32"/>
          <w:szCs w:val="32"/>
        </w:rPr>
        <w:t>111</w:t>
      </w:r>
      <w:r>
        <w:rPr>
          <w:rFonts w:eastAsia="方正仿宋_GBK"/>
          <w:sz w:val="32"/>
          <w:szCs w:val="32"/>
        </w:rPr>
        <w:fldChar w:fldCharType="end"/>
      </w:r>
      <w:r>
        <w:rPr>
          <w:rFonts w:eastAsia="方正仿宋_GBK"/>
          <w:sz w:val="32"/>
          <w:szCs w:val="32"/>
        </w:rPr>
        <w:fldChar w:fldCharType="end"/>
      </w:r>
    </w:p>
    <w:p w14:paraId="5A158EA9">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"_Toc60466349" </w:instrText>
      </w:r>
      <w:r>
        <w:fldChar w:fldCharType="separate"/>
      </w:r>
      <w:r>
        <w:rPr>
          <w:rStyle w:val="15"/>
          <w:rFonts w:hint="eastAsia" w:ascii="Times New Roman" w:hAnsi="Times New Roman" w:eastAsia="方正楷体_GBK" w:cs="方正楷体_GBK"/>
          <w:sz w:val="32"/>
          <w:szCs w:val="32"/>
        </w:rPr>
        <w:t>第一节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实现智慧经济统筹</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_Toc60466349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111</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3F602E2B">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"_Toc60466350" </w:instrText>
      </w:r>
      <w:r>
        <w:fldChar w:fldCharType="separate"/>
      </w:r>
      <w:r>
        <w:rPr>
          <w:rStyle w:val="15"/>
          <w:rFonts w:hint="eastAsia" w:ascii="Times New Roman" w:hAnsi="Times New Roman" w:eastAsia="方正楷体_GBK" w:cs="方正楷体_GBK"/>
          <w:sz w:val="32"/>
          <w:szCs w:val="32"/>
        </w:rPr>
        <w:t>第二节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实现智慧民生服务</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_Toc60466350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112</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4D2E6F3C">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"_Toc60466351" </w:instrText>
      </w:r>
      <w:r>
        <w:fldChar w:fldCharType="separate"/>
      </w:r>
      <w:r>
        <w:rPr>
          <w:rStyle w:val="15"/>
          <w:rFonts w:hint="eastAsia" w:ascii="Times New Roman" w:hAnsi="Times New Roman" w:eastAsia="方正楷体_GBK" w:cs="方正楷体_GBK"/>
          <w:sz w:val="32"/>
          <w:szCs w:val="32"/>
        </w:rPr>
        <w:t>第三节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实现智慧城市建管</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_Toc60466351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112</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658AB35B">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"_Toc60466352" </w:instrText>
      </w:r>
      <w:r>
        <w:fldChar w:fldCharType="separate"/>
      </w:r>
      <w:r>
        <w:rPr>
          <w:rStyle w:val="15"/>
          <w:rFonts w:hint="eastAsia" w:ascii="Times New Roman" w:hAnsi="Times New Roman" w:eastAsia="方正楷体_GBK" w:cs="方正楷体_GBK"/>
          <w:sz w:val="32"/>
          <w:szCs w:val="32"/>
        </w:rPr>
        <w:t>第四节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实现智慧生态管养</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_Toc60466352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113</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1007DDFE">
      <w:pPr>
        <w:pStyle w:val="6"/>
        <w:tabs>
          <w:tab w:val="right" w:leader="dot" w:pos="8834"/>
        </w:tabs>
        <w:ind w:left="31680"/>
        <w:rPr>
          <w:rFonts w:ascii="Times New Roman" w:hAnsi="Times New Roman" w:eastAsia="方正楷体_GBK" w:cs="Times New Roman"/>
          <w:sz w:val="32"/>
          <w:szCs w:val="32"/>
        </w:rPr>
      </w:pPr>
      <w:r>
        <w:fldChar w:fldCharType="begin"/>
      </w:r>
      <w:r>
        <w:instrText xml:space="preserve"> HYPERLINK \l "_Toc60466353" </w:instrText>
      </w:r>
      <w:r>
        <w:fldChar w:fldCharType="separate"/>
      </w:r>
      <w:r>
        <w:rPr>
          <w:rStyle w:val="15"/>
          <w:rFonts w:hint="eastAsia" w:ascii="Times New Roman" w:hAnsi="Times New Roman" w:eastAsia="方正楷体_GBK" w:cs="方正楷体_GBK"/>
          <w:sz w:val="32"/>
          <w:szCs w:val="32"/>
        </w:rPr>
        <w:t>第五节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实现智慧社会治理</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_Toc60466353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113</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02032CB0">
      <w:pPr>
        <w:pStyle w:val="6"/>
        <w:tabs>
          <w:tab w:val="right" w:leader="dot" w:pos="8834"/>
        </w:tabs>
        <w:ind w:left="31680"/>
        <w:rPr>
          <w:rFonts w:ascii="Times New Roman" w:hAnsi="Times New Roman" w:eastAsia="华文中宋" w:cs="Times New Roman"/>
          <w:sz w:val="32"/>
          <w:szCs w:val="32"/>
        </w:rPr>
      </w:pPr>
      <w:r>
        <w:fldChar w:fldCharType="begin"/>
      </w:r>
      <w:r>
        <w:instrText xml:space="preserve"> HYPERLINK \l "_Toc60466354" </w:instrText>
      </w:r>
      <w:r>
        <w:fldChar w:fldCharType="separate"/>
      </w:r>
      <w:r>
        <w:rPr>
          <w:rStyle w:val="15"/>
          <w:rFonts w:hint="eastAsia" w:ascii="Times New Roman" w:hAnsi="Times New Roman" w:eastAsia="方正楷体_GBK" w:cs="方正楷体_GBK"/>
          <w:sz w:val="32"/>
          <w:szCs w:val="32"/>
        </w:rPr>
        <w:t>第六节</w:t>
      </w:r>
      <w:r>
        <w:rPr>
          <w:rStyle w:val="15"/>
          <w:rFonts w:ascii="Times New Roman" w:hAnsi="Times New Roman" w:eastAsia="方正楷体_GBK" w:cs="Times New Roman"/>
          <w:sz w:val="32"/>
          <w:szCs w:val="32"/>
        </w:rPr>
        <w:t xml:space="preserve"> </w:t>
      </w:r>
      <w:r>
        <w:rPr>
          <w:rStyle w:val="15"/>
          <w:rFonts w:hint="eastAsia" w:ascii="Times New Roman" w:hAnsi="Times New Roman" w:eastAsia="方正楷体_GBK" w:cs="方正楷体_GBK"/>
          <w:sz w:val="32"/>
          <w:szCs w:val="32"/>
        </w:rPr>
        <w:t>实现智慧文化建设</w:t>
      </w:r>
      <w:r>
        <w:rPr>
          <w:rFonts w:ascii="Times New Roman" w:hAnsi="Times New Roman" w:eastAsia="方正楷体_GBK" w:cs="Times New Roman"/>
          <w:sz w:val="32"/>
          <w:szCs w:val="32"/>
        </w:rPr>
        <w:tab/>
      </w:r>
      <w:r>
        <w:rPr>
          <w:rFonts w:ascii="Times New Roman" w:hAnsi="Times New Roman" w:eastAsia="方正楷体_GBK" w:cs="Times New Roman"/>
          <w:sz w:val="32"/>
          <w:szCs w:val="32"/>
        </w:rPr>
        <w:fldChar w:fldCharType="begin"/>
      </w:r>
      <w:r>
        <w:rPr>
          <w:rFonts w:ascii="Times New Roman" w:hAnsi="Times New Roman" w:eastAsia="方正楷体_GBK" w:cs="Times New Roman"/>
          <w:sz w:val="32"/>
          <w:szCs w:val="32"/>
        </w:rPr>
        <w:instrText xml:space="preserve"> PAGEREF _Toc60466354 \h </w:instrText>
      </w:r>
      <w:r>
        <w:rPr>
          <w:rFonts w:ascii="Times New Roman" w:hAnsi="Times New Roman" w:eastAsia="方正楷体_GBK" w:cs="Times New Roman"/>
          <w:sz w:val="32"/>
          <w:szCs w:val="32"/>
        </w:rPr>
        <w:fldChar w:fldCharType="separate"/>
      </w:r>
      <w:r>
        <w:rPr>
          <w:rFonts w:ascii="Times New Roman" w:hAnsi="Times New Roman" w:eastAsia="方正楷体_GBK" w:cs="Times New Roman"/>
          <w:sz w:val="32"/>
          <w:szCs w:val="32"/>
        </w:rPr>
        <w:t>114</w:t>
      </w:r>
      <w:r>
        <w:rPr>
          <w:rFonts w:ascii="Times New Roman" w:hAnsi="Times New Roman" w:eastAsia="方正楷体_GBK" w:cs="Times New Roman"/>
          <w:sz w:val="32"/>
          <w:szCs w:val="32"/>
        </w:rPr>
        <w:fldChar w:fldCharType="end"/>
      </w:r>
      <w:r>
        <w:rPr>
          <w:rFonts w:ascii="Times New Roman" w:hAnsi="Times New Roman" w:eastAsia="方正楷体_GBK" w:cs="Times New Roman"/>
          <w:sz w:val="32"/>
          <w:szCs w:val="32"/>
        </w:rPr>
        <w:fldChar w:fldCharType="end"/>
      </w:r>
    </w:p>
    <w:p w14:paraId="397796CC">
      <w:pPr>
        <w:pStyle w:val="9"/>
        <w:tabs>
          <w:tab w:val="right" w:leader="dot" w:pos="8834"/>
        </w:tabs>
        <w:rPr>
          <w:rFonts w:eastAsia="华文中宋"/>
          <w:sz w:val="32"/>
          <w:szCs w:val="32"/>
        </w:rPr>
      </w:pPr>
      <w:r>
        <w:fldChar w:fldCharType="begin"/>
      </w:r>
      <w:r>
        <w:instrText xml:space="preserve"> HYPERLINK \l "_Toc60466355" </w:instrText>
      </w:r>
      <w:r>
        <w:fldChar w:fldCharType="separate"/>
      </w:r>
      <w:r>
        <w:rPr>
          <w:rStyle w:val="15"/>
          <w:rFonts w:hint="eastAsia" w:eastAsia="方正黑体_GBK" w:cs="方正黑体_GBK"/>
          <w:sz w:val="32"/>
          <w:szCs w:val="32"/>
        </w:rPr>
        <w:t>第十一篇</w:t>
      </w:r>
      <w:r>
        <w:rPr>
          <w:rStyle w:val="15"/>
          <w:rFonts w:eastAsia="方正黑体_GBK"/>
          <w:sz w:val="32"/>
          <w:szCs w:val="32"/>
        </w:rPr>
        <w:t xml:space="preserve"> </w:t>
      </w:r>
      <w:r>
        <w:rPr>
          <w:rStyle w:val="15"/>
          <w:rFonts w:hint="eastAsia" w:eastAsia="方正黑体_GBK" w:cs="方正黑体_GBK"/>
          <w:sz w:val="32"/>
          <w:szCs w:val="32"/>
        </w:rPr>
        <w:t>坚持党的全面领导，切实强化实施保障，共促秦淮高质量发展蓝图落地</w:t>
      </w:r>
      <w:r>
        <w:rPr>
          <w:rFonts w:eastAsia="华文中宋"/>
          <w:sz w:val="32"/>
          <w:szCs w:val="32"/>
        </w:rPr>
        <w:tab/>
      </w:r>
      <w:r>
        <w:rPr>
          <w:rFonts w:eastAsia="华文中宋"/>
          <w:sz w:val="32"/>
          <w:szCs w:val="32"/>
        </w:rPr>
        <w:fldChar w:fldCharType="begin"/>
      </w:r>
      <w:r>
        <w:rPr>
          <w:rFonts w:eastAsia="华文中宋"/>
          <w:sz w:val="32"/>
          <w:szCs w:val="32"/>
        </w:rPr>
        <w:instrText xml:space="preserve"> PAGEREF _Toc60466355 \h </w:instrText>
      </w:r>
      <w:r>
        <w:rPr>
          <w:rFonts w:eastAsia="华文中宋"/>
          <w:sz w:val="32"/>
          <w:szCs w:val="32"/>
        </w:rPr>
        <w:fldChar w:fldCharType="separate"/>
      </w:r>
      <w:r>
        <w:rPr>
          <w:rFonts w:eastAsia="华文中宋"/>
          <w:sz w:val="32"/>
          <w:szCs w:val="32"/>
        </w:rPr>
        <w:t>114</w:t>
      </w:r>
      <w:r>
        <w:rPr>
          <w:rFonts w:eastAsia="华文中宋"/>
          <w:sz w:val="32"/>
          <w:szCs w:val="32"/>
        </w:rPr>
        <w:fldChar w:fldCharType="end"/>
      </w:r>
      <w:r>
        <w:rPr>
          <w:rFonts w:eastAsia="华文中宋"/>
          <w:sz w:val="32"/>
          <w:szCs w:val="32"/>
        </w:rPr>
        <w:fldChar w:fldCharType="end"/>
      </w:r>
    </w:p>
    <w:p w14:paraId="136C1097">
      <w:pPr>
        <w:pStyle w:val="11"/>
        <w:tabs>
          <w:tab w:val="right" w:leader="dot" w:pos="8834"/>
        </w:tabs>
        <w:ind w:left="31680"/>
        <w:rPr>
          <w:rFonts w:eastAsia="方正仿宋_GBK"/>
          <w:sz w:val="32"/>
          <w:szCs w:val="32"/>
        </w:rPr>
      </w:pPr>
      <w:r>
        <w:fldChar w:fldCharType="begin"/>
      </w:r>
      <w:r>
        <w:instrText xml:space="preserve"> HYPERLINK \l "_Toc60466356" </w:instrText>
      </w:r>
      <w:r>
        <w:fldChar w:fldCharType="separate"/>
      </w:r>
      <w:r>
        <w:rPr>
          <w:rStyle w:val="15"/>
          <w:rFonts w:hint="eastAsia" w:eastAsia="方正仿宋_GBK" w:cs="方正仿宋_GBK"/>
          <w:sz w:val="32"/>
          <w:szCs w:val="32"/>
        </w:rPr>
        <w:t>第三十八章</w:t>
      </w:r>
      <w:r>
        <w:rPr>
          <w:rStyle w:val="15"/>
          <w:rFonts w:eastAsia="方正仿宋_GBK"/>
          <w:sz w:val="32"/>
          <w:szCs w:val="32"/>
        </w:rPr>
        <w:t xml:space="preserve"> </w:t>
      </w:r>
      <w:r>
        <w:rPr>
          <w:rStyle w:val="15"/>
          <w:rFonts w:hint="eastAsia" w:eastAsia="方正仿宋_GBK" w:cs="方正仿宋_GBK"/>
          <w:sz w:val="32"/>
          <w:szCs w:val="32"/>
        </w:rPr>
        <w:t>坚持党的全面领导</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_Toc60466356 \h </w:instrText>
      </w:r>
      <w:r>
        <w:rPr>
          <w:rFonts w:eastAsia="方正仿宋_GBK"/>
          <w:sz w:val="32"/>
          <w:szCs w:val="32"/>
        </w:rPr>
        <w:fldChar w:fldCharType="separate"/>
      </w:r>
      <w:r>
        <w:rPr>
          <w:rFonts w:eastAsia="方正仿宋_GBK"/>
          <w:sz w:val="32"/>
          <w:szCs w:val="32"/>
        </w:rPr>
        <w:t>114</w:t>
      </w:r>
      <w:r>
        <w:rPr>
          <w:rFonts w:eastAsia="方正仿宋_GBK"/>
          <w:sz w:val="32"/>
          <w:szCs w:val="32"/>
        </w:rPr>
        <w:fldChar w:fldCharType="end"/>
      </w:r>
      <w:r>
        <w:rPr>
          <w:rFonts w:eastAsia="方正仿宋_GBK"/>
          <w:sz w:val="32"/>
          <w:szCs w:val="32"/>
        </w:rPr>
        <w:fldChar w:fldCharType="end"/>
      </w:r>
    </w:p>
    <w:p w14:paraId="340140EA">
      <w:pPr>
        <w:pStyle w:val="11"/>
        <w:tabs>
          <w:tab w:val="right" w:leader="dot" w:pos="8834"/>
        </w:tabs>
        <w:ind w:left="31680"/>
        <w:rPr>
          <w:rFonts w:eastAsia="方正仿宋_GBK"/>
          <w:sz w:val="32"/>
          <w:szCs w:val="32"/>
        </w:rPr>
      </w:pPr>
      <w:r>
        <w:fldChar w:fldCharType="begin"/>
      </w:r>
      <w:r>
        <w:instrText xml:space="preserve"> HYPERLINK \l "_Toc60466357" </w:instrText>
      </w:r>
      <w:r>
        <w:fldChar w:fldCharType="separate"/>
      </w:r>
      <w:r>
        <w:rPr>
          <w:rStyle w:val="15"/>
          <w:rFonts w:hint="eastAsia" w:eastAsia="方正仿宋_GBK" w:cs="方正仿宋_GBK"/>
          <w:sz w:val="32"/>
          <w:szCs w:val="32"/>
        </w:rPr>
        <w:t>第三十九章</w:t>
      </w:r>
      <w:r>
        <w:rPr>
          <w:rStyle w:val="15"/>
          <w:rFonts w:eastAsia="方正仿宋_GBK"/>
          <w:sz w:val="32"/>
          <w:szCs w:val="32"/>
        </w:rPr>
        <w:t xml:space="preserve"> </w:t>
      </w:r>
      <w:r>
        <w:rPr>
          <w:rStyle w:val="15"/>
          <w:rFonts w:hint="eastAsia" w:eastAsia="方正仿宋_GBK" w:cs="方正仿宋_GBK"/>
          <w:sz w:val="32"/>
          <w:szCs w:val="32"/>
        </w:rPr>
        <w:t>广泛汇聚多方共识</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_Toc60466357 \h </w:instrText>
      </w:r>
      <w:r>
        <w:rPr>
          <w:rFonts w:eastAsia="方正仿宋_GBK"/>
          <w:sz w:val="32"/>
          <w:szCs w:val="32"/>
        </w:rPr>
        <w:fldChar w:fldCharType="separate"/>
      </w:r>
      <w:r>
        <w:rPr>
          <w:rFonts w:eastAsia="方正仿宋_GBK"/>
          <w:sz w:val="32"/>
          <w:szCs w:val="32"/>
        </w:rPr>
        <w:t>115</w:t>
      </w:r>
      <w:r>
        <w:rPr>
          <w:rFonts w:eastAsia="方正仿宋_GBK"/>
          <w:sz w:val="32"/>
          <w:szCs w:val="32"/>
        </w:rPr>
        <w:fldChar w:fldCharType="end"/>
      </w:r>
      <w:r>
        <w:rPr>
          <w:rFonts w:eastAsia="方正仿宋_GBK"/>
          <w:sz w:val="32"/>
          <w:szCs w:val="32"/>
        </w:rPr>
        <w:fldChar w:fldCharType="end"/>
      </w:r>
    </w:p>
    <w:p w14:paraId="764ABACB">
      <w:pPr>
        <w:pStyle w:val="11"/>
        <w:tabs>
          <w:tab w:val="right" w:leader="dot" w:pos="8834"/>
        </w:tabs>
        <w:ind w:left="31680"/>
        <w:rPr>
          <w:rFonts w:eastAsia="方正仿宋_GBK"/>
          <w:sz w:val="32"/>
          <w:szCs w:val="32"/>
        </w:rPr>
      </w:pPr>
      <w:r>
        <w:fldChar w:fldCharType="begin"/>
      </w:r>
      <w:r>
        <w:instrText xml:space="preserve"> HYPERLINK \l "_Toc60466358" </w:instrText>
      </w:r>
      <w:r>
        <w:fldChar w:fldCharType="separate"/>
      </w:r>
      <w:r>
        <w:rPr>
          <w:rStyle w:val="15"/>
          <w:rFonts w:hint="eastAsia" w:eastAsia="方正仿宋_GBK" w:cs="方正仿宋_GBK"/>
          <w:sz w:val="32"/>
          <w:szCs w:val="32"/>
        </w:rPr>
        <w:t>第四十章</w:t>
      </w:r>
      <w:r>
        <w:rPr>
          <w:rStyle w:val="15"/>
          <w:rFonts w:eastAsia="方正仿宋_GBK"/>
          <w:sz w:val="32"/>
          <w:szCs w:val="32"/>
        </w:rPr>
        <w:t xml:space="preserve">   </w:t>
      </w:r>
      <w:r>
        <w:rPr>
          <w:rStyle w:val="15"/>
          <w:rFonts w:hint="eastAsia" w:eastAsia="方正仿宋_GBK" w:cs="方正仿宋_GBK"/>
          <w:sz w:val="32"/>
          <w:szCs w:val="32"/>
        </w:rPr>
        <w:t>强化规划落实保障</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_Toc60466358 \h </w:instrText>
      </w:r>
      <w:r>
        <w:rPr>
          <w:rFonts w:eastAsia="方正仿宋_GBK"/>
          <w:sz w:val="32"/>
          <w:szCs w:val="32"/>
        </w:rPr>
        <w:fldChar w:fldCharType="separate"/>
      </w:r>
      <w:r>
        <w:rPr>
          <w:rFonts w:eastAsia="方正仿宋_GBK"/>
          <w:sz w:val="32"/>
          <w:szCs w:val="32"/>
        </w:rPr>
        <w:t>116</w:t>
      </w:r>
      <w:r>
        <w:rPr>
          <w:rFonts w:eastAsia="方正仿宋_GBK"/>
          <w:sz w:val="32"/>
          <w:szCs w:val="32"/>
        </w:rPr>
        <w:fldChar w:fldCharType="end"/>
      </w:r>
      <w:r>
        <w:rPr>
          <w:rFonts w:eastAsia="方正仿宋_GBK"/>
          <w:sz w:val="32"/>
          <w:szCs w:val="32"/>
        </w:rPr>
        <w:fldChar w:fldCharType="end"/>
      </w:r>
    </w:p>
    <w:p w14:paraId="253F623E">
      <w:pPr>
        <w:pStyle w:val="11"/>
        <w:tabs>
          <w:tab w:val="right" w:leader="dot" w:pos="8834"/>
        </w:tabs>
        <w:ind w:left="31680"/>
        <w:rPr>
          <w:rFonts w:eastAsia="方正仿宋_GBK"/>
          <w:sz w:val="32"/>
          <w:szCs w:val="32"/>
        </w:rPr>
      </w:pPr>
      <w:r>
        <w:fldChar w:fldCharType="begin"/>
      </w:r>
      <w:r>
        <w:instrText xml:space="preserve"> HYPERLINK \l "_Toc60466359" </w:instrText>
      </w:r>
      <w:r>
        <w:fldChar w:fldCharType="separate"/>
      </w:r>
      <w:r>
        <w:rPr>
          <w:rStyle w:val="15"/>
          <w:rFonts w:hint="eastAsia" w:eastAsia="方正仿宋_GBK" w:cs="方正仿宋_GBK"/>
          <w:sz w:val="32"/>
          <w:szCs w:val="32"/>
        </w:rPr>
        <w:t>第四十一章</w:t>
      </w:r>
      <w:r>
        <w:rPr>
          <w:rStyle w:val="15"/>
          <w:rFonts w:eastAsia="方正仿宋_GBK"/>
          <w:sz w:val="32"/>
          <w:szCs w:val="32"/>
        </w:rPr>
        <w:t xml:space="preserve"> </w:t>
      </w:r>
      <w:r>
        <w:rPr>
          <w:rStyle w:val="15"/>
          <w:rFonts w:hint="eastAsia" w:eastAsia="方正仿宋_GBK" w:cs="方正仿宋_GBK"/>
          <w:sz w:val="32"/>
          <w:szCs w:val="32"/>
        </w:rPr>
        <w:t>深化依法治区建设</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_Toc60466359 \h </w:instrText>
      </w:r>
      <w:r>
        <w:rPr>
          <w:rFonts w:eastAsia="方正仿宋_GBK"/>
          <w:sz w:val="32"/>
          <w:szCs w:val="32"/>
        </w:rPr>
        <w:fldChar w:fldCharType="separate"/>
      </w:r>
      <w:r>
        <w:rPr>
          <w:rFonts w:eastAsia="方正仿宋_GBK"/>
          <w:sz w:val="32"/>
          <w:szCs w:val="32"/>
        </w:rPr>
        <w:t>117</w:t>
      </w:r>
      <w:r>
        <w:rPr>
          <w:rFonts w:eastAsia="方正仿宋_GBK"/>
          <w:sz w:val="32"/>
          <w:szCs w:val="32"/>
        </w:rPr>
        <w:fldChar w:fldCharType="end"/>
      </w:r>
      <w:r>
        <w:rPr>
          <w:rFonts w:eastAsia="方正仿宋_GBK"/>
          <w:sz w:val="32"/>
          <w:szCs w:val="32"/>
        </w:rPr>
        <w:fldChar w:fldCharType="end"/>
      </w:r>
    </w:p>
    <w:p w14:paraId="12AAA6AA">
      <w:pPr>
        <w:pStyle w:val="11"/>
        <w:tabs>
          <w:tab w:val="right" w:leader="dot" w:pos="8834"/>
        </w:tabs>
        <w:ind w:left="31680"/>
        <w:rPr>
          <w:rFonts w:eastAsia="华文中宋"/>
          <w:sz w:val="32"/>
          <w:szCs w:val="32"/>
        </w:rPr>
      </w:pPr>
      <w:r>
        <w:fldChar w:fldCharType="begin"/>
      </w:r>
      <w:r>
        <w:instrText xml:space="preserve"> HYPERLINK \l "_Toc60466360" </w:instrText>
      </w:r>
      <w:r>
        <w:fldChar w:fldCharType="separate"/>
      </w:r>
      <w:r>
        <w:rPr>
          <w:rStyle w:val="15"/>
          <w:rFonts w:hint="eastAsia" w:eastAsia="方正仿宋_GBK" w:cs="方正仿宋_GBK"/>
          <w:sz w:val="32"/>
          <w:szCs w:val="32"/>
        </w:rPr>
        <w:t>第四十二章</w:t>
      </w:r>
      <w:r>
        <w:rPr>
          <w:rStyle w:val="15"/>
          <w:rFonts w:eastAsia="方正仿宋_GBK"/>
          <w:sz w:val="32"/>
          <w:szCs w:val="32"/>
        </w:rPr>
        <w:t xml:space="preserve"> </w:t>
      </w:r>
      <w:r>
        <w:rPr>
          <w:rStyle w:val="15"/>
          <w:rFonts w:hint="eastAsia" w:eastAsia="方正仿宋_GBK" w:cs="方正仿宋_GBK"/>
          <w:sz w:val="32"/>
          <w:szCs w:val="32"/>
        </w:rPr>
        <w:t>加强多元要素协同</w:t>
      </w:r>
      <w:r>
        <w:rPr>
          <w:rFonts w:eastAsia="方正仿宋_GBK"/>
          <w:sz w:val="32"/>
          <w:szCs w:val="32"/>
        </w:rPr>
        <w:tab/>
      </w:r>
      <w:r>
        <w:rPr>
          <w:rFonts w:eastAsia="方正仿宋_GBK"/>
          <w:sz w:val="32"/>
          <w:szCs w:val="32"/>
        </w:rPr>
        <w:fldChar w:fldCharType="begin"/>
      </w:r>
      <w:r>
        <w:rPr>
          <w:rFonts w:eastAsia="方正仿宋_GBK"/>
          <w:sz w:val="32"/>
          <w:szCs w:val="32"/>
        </w:rPr>
        <w:instrText xml:space="preserve"> PAGEREF _Toc60466360 \h </w:instrText>
      </w:r>
      <w:r>
        <w:rPr>
          <w:rFonts w:eastAsia="方正仿宋_GBK"/>
          <w:sz w:val="32"/>
          <w:szCs w:val="32"/>
        </w:rPr>
        <w:fldChar w:fldCharType="separate"/>
      </w:r>
      <w:r>
        <w:rPr>
          <w:rFonts w:eastAsia="方正仿宋_GBK"/>
          <w:sz w:val="32"/>
          <w:szCs w:val="32"/>
        </w:rPr>
        <w:t>118</w:t>
      </w:r>
      <w:r>
        <w:rPr>
          <w:rFonts w:eastAsia="方正仿宋_GBK"/>
          <w:sz w:val="32"/>
          <w:szCs w:val="32"/>
        </w:rPr>
        <w:fldChar w:fldCharType="end"/>
      </w:r>
      <w:r>
        <w:rPr>
          <w:rFonts w:eastAsia="方正仿宋_GBK"/>
          <w:sz w:val="32"/>
          <w:szCs w:val="32"/>
        </w:rPr>
        <w:fldChar w:fldCharType="end"/>
      </w:r>
    </w:p>
    <w:p w14:paraId="7E5922DB">
      <w:pPr>
        <w:pStyle w:val="9"/>
        <w:tabs>
          <w:tab w:val="right" w:leader="dot" w:pos="8834"/>
        </w:tabs>
        <w:rPr>
          <w:rFonts w:eastAsia="华文中宋"/>
          <w:sz w:val="32"/>
          <w:szCs w:val="32"/>
        </w:rPr>
      </w:pPr>
    </w:p>
    <w:p w14:paraId="54D0BEB4">
      <w:pPr>
        <w:pStyle w:val="3"/>
        <w:keepNext w:val="0"/>
        <w:keepLines w:val="0"/>
        <w:spacing w:before="0" w:after="0" w:line="520" w:lineRule="exact"/>
        <w:rPr>
          <w:rFonts w:eastAsia="华文中宋"/>
          <w:b w:val="0"/>
          <w:bCs w:val="0"/>
          <w:sz w:val="32"/>
          <w:szCs w:val="32"/>
        </w:rPr>
      </w:pPr>
      <w:r>
        <w:rPr>
          <w:rFonts w:eastAsia="华文中宋"/>
          <w:sz w:val="32"/>
          <w:szCs w:val="32"/>
        </w:rPr>
        <w:fldChar w:fldCharType="end"/>
      </w:r>
    </w:p>
    <w:p w14:paraId="3B4516D8">
      <w:pPr>
        <w:rPr>
          <w:rFonts w:eastAsia="华文中宋"/>
        </w:rPr>
      </w:pPr>
    </w:p>
    <w:p w14:paraId="49803634">
      <w:pPr>
        <w:pStyle w:val="3"/>
        <w:keepNext w:val="0"/>
        <w:keepLines w:val="0"/>
        <w:spacing w:before="0" w:after="0" w:line="540" w:lineRule="exact"/>
        <w:jc w:val="center"/>
        <w:rPr>
          <w:rFonts w:eastAsia="华文中宋"/>
          <w:b w:val="0"/>
          <w:bCs w:val="0"/>
        </w:rPr>
      </w:pPr>
    </w:p>
    <w:p w14:paraId="3AD8CD00">
      <w:pPr>
        <w:pStyle w:val="3"/>
        <w:keepNext w:val="0"/>
        <w:keepLines w:val="0"/>
        <w:spacing w:before="0" w:after="0" w:line="540" w:lineRule="exact"/>
        <w:jc w:val="center"/>
        <w:rPr>
          <w:rFonts w:eastAsia="华文中宋"/>
          <w:b w:val="0"/>
          <w:bCs w:val="0"/>
        </w:rPr>
      </w:pPr>
      <w:bookmarkStart w:id="10" w:name="_Toc60466201"/>
    </w:p>
    <w:p w14:paraId="46A70C50">
      <w:pPr>
        <w:pStyle w:val="3"/>
        <w:keepNext w:val="0"/>
        <w:keepLines w:val="0"/>
        <w:spacing w:before="0" w:after="0" w:line="540" w:lineRule="exact"/>
        <w:jc w:val="center"/>
        <w:rPr>
          <w:rFonts w:eastAsia="华文中宋"/>
          <w:b w:val="0"/>
          <w:bCs w:val="0"/>
        </w:rPr>
      </w:pPr>
    </w:p>
    <w:p w14:paraId="65941BA2">
      <w:pPr>
        <w:pStyle w:val="3"/>
        <w:keepNext w:val="0"/>
        <w:keepLines w:val="0"/>
        <w:spacing w:before="0" w:after="0" w:line="540" w:lineRule="exact"/>
        <w:jc w:val="center"/>
        <w:rPr>
          <w:rFonts w:eastAsia="华文中宋"/>
          <w:b w:val="0"/>
          <w:bCs w:val="0"/>
        </w:rPr>
      </w:pPr>
    </w:p>
    <w:p w14:paraId="20DC5D8A">
      <w:pPr>
        <w:pStyle w:val="3"/>
        <w:keepNext w:val="0"/>
        <w:keepLines w:val="0"/>
        <w:spacing w:before="0" w:after="0" w:line="540" w:lineRule="exact"/>
        <w:jc w:val="center"/>
        <w:rPr>
          <w:rFonts w:eastAsia="华文中宋"/>
          <w:b w:val="0"/>
          <w:bCs w:val="0"/>
        </w:rPr>
      </w:pPr>
    </w:p>
    <w:p w14:paraId="15191104">
      <w:pPr>
        <w:pStyle w:val="3"/>
        <w:keepNext w:val="0"/>
        <w:keepLines w:val="0"/>
        <w:spacing w:before="0" w:after="0" w:line="540" w:lineRule="exact"/>
        <w:jc w:val="center"/>
        <w:rPr>
          <w:rFonts w:eastAsia="华文中宋"/>
          <w:b w:val="0"/>
          <w:bCs w:val="0"/>
        </w:rPr>
      </w:pPr>
    </w:p>
    <w:p w14:paraId="376F46DE">
      <w:pPr>
        <w:pStyle w:val="3"/>
        <w:keepNext w:val="0"/>
        <w:keepLines w:val="0"/>
        <w:spacing w:before="0" w:after="0" w:line="540" w:lineRule="exact"/>
        <w:jc w:val="center"/>
        <w:rPr>
          <w:rFonts w:eastAsia="华文中宋"/>
          <w:b w:val="0"/>
          <w:bCs w:val="0"/>
        </w:rPr>
      </w:pPr>
    </w:p>
    <w:p w14:paraId="50DC3BBA">
      <w:pPr>
        <w:pStyle w:val="3"/>
        <w:keepNext w:val="0"/>
        <w:keepLines w:val="0"/>
        <w:spacing w:before="0" w:after="0" w:line="540" w:lineRule="exact"/>
        <w:jc w:val="center"/>
        <w:rPr>
          <w:rFonts w:eastAsia="华文中宋"/>
          <w:b w:val="0"/>
          <w:bCs w:val="0"/>
        </w:rPr>
      </w:pPr>
    </w:p>
    <w:p w14:paraId="14E4564C">
      <w:pPr>
        <w:pStyle w:val="3"/>
        <w:keepNext w:val="0"/>
        <w:keepLines w:val="0"/>
        <w:spacing w:before="0" w:after="0" w:line="540" w:lineRule="exact"/>
        <w:jc w:val="center"/>
        <w:rPr>
          <w:rFonts w:eastAsia="华文中宋"/>
          <w:b w:val="0"/>
          <w:bCs w:val="0"/>
        </w:rPr>
      </w:pPr>
    </w:p>
    <w:p w14:paraId="13519EC0">
      <w:pPr>
        <w:pStyle w:val="3"/>
        <w:keepNext w:val="0"/>
        <w:keepLines w:val="0"/>
        <w:spacing w:before="0" w:after="0" w:line="540" w:lineRule="exact"/>
        <w:jc w:val="center"/>
        <w:rPr>
          <w:rFonts w:eastAsia="华文中宋"/>
          <w:b w:val="0"/>
          <w:bCs w:val="0"/>
        </w:rPr>
      </w:pPr>
    </w:p>
    <w:p w14:paraId="161396E6">
      <w:pPr>
        <w:pStyle w:val="3"/>
        <w:keepNext w:val="0"/>
        <w:keepLines w:val="0"/>
        <w:spacing w:before="0" w:after="0" w:line="540" w:lineRule="exact"/>
        <w:jc w:val="center"/>
        <w:rPr>
          <w:rFonts w:eastAsia="华文中宋"/>
          <w:b w:val="0"/>
          <w:bCs w:val="0"/>
        </w:rPr>
      </w:pPr>
    </w:p>
    <w:p w14:paraId="06556C4F">
      <w:pPr>
        <w:pStyle w:val="3"/>
        <w:keepNext w:val="0"/>
        <w:keepLines w:val="0"/>
        <w:spacing w:before="0" w:after="0" w:line="540" w:lineRule="exact"/>
        <w:jc w:val="center"/>
        <w:rPr>
          <w:rFonts w:eastAsia="华文中宋"/>
          <w:b w:val="0"/>
          <w:bCs w:val="0"/>
        </w:rPr>
      </w:pPr>
    </w:p>
    <w:p w14:paraId="077677A3">
      <w:pPr>
        <w:pStyle w:val="3"/>
        <w:keepNext w:val="0"/>
        <w:keepLines w:val="0"/>
        <w:spacing w:before="0" w:after="0" w:line="540" w:lineRule="exact"/>
        <w:jc w:val="center"/>
        <w:rPr>
          <w:rFonts w:eastAsia="华文中宋"/>
          <w:b w:val="0"/>
          <w:bCs w:val="0"/>
        </w:rPr>
      </w:pPr>
    </w:p>
    <w:p w14:paraId="6774C7DF">
      <w:pPr>
        <w:pStyle w:val="3"/>
        <w:keepNext w:val="0"/>
        <w:keepLines w:val="0"/>
        <w:spacing w:before="0" w:after="0" w:line="540" w:lineRule="exact"/>
        <w:jc w:val="center"/>
        <w:rPr>
          <w:rFonts w:eastAsia="华文中宋"/>
          <w:b w:val="0"/>
          <w:bCs w:val="0"/>
        </w:rPr>
      </w:pPr>
    </w:p>
    <w:p w14:paraId="7A52EBFA">
      <w:pPr>
        <w:pStyle w:val="3"/>
        <w:keepNext w:val="0"/>
        <w:keepLines w:val="0"/>
        <w:spacing w:before="0" w:after="0" w:line="540" w:lineRule="exact"/>
        <w:jc w:val="center"/>
        <w:rPr>
          <w:rFonts w:eastAsia="华文中宋"/>
          <w:b w:val="0"/>
          <w:bCs w:val="0"/>
        </w:rPr>
      </w:pPr>
    </w:p>
    <w:p w14:paraId="642652C7">
      <w:pPr>
        <w:pStyle w:val="3"/>
        <w:keepNext w:val="0"/>
        <w:keepLines w:val="0"/>
        <w:spacing w:before="0" w:after="0" w:line="540" w:lineRule="exact"/>
        <w:jc w:val="center"/>
        <w:rPr>
          <w:rFonts w:eastAsia="华文中宋"/>
          <w:b w:val="0"/>
          <w:bCs w:val="0"/>
        </w:rPr>
      </w:pPr>
    </w:p>
    <w:p w14:paraId="578B4D6E">
      <w:pPr>
        <w:rPr>
          <w:rFonts w:eastAsia="华文中宋"/>
        </w:rPr>
      </w:pPr>
    </w:p>
    <w:p w14:paraId="08B59792">
      <w:pPr>
        <w:pStyle w:val="2"/>
      </w:pPr>
    </w:p>
    <w:p w14:paraId="2CD8602C">
      <w:pPr>
        <w:pStyle w:val="3"/>
        <w:keepNext w:val="0"/>
        <w:keepLines w:val="0"/>
        <w:spacing w:before="0" w:after="0" w:line="540" w:lineRule="exact"/>
        <w:jc w:val="center"/>
        <w:rPr>
          <w:rFonts w:eastAsia="华文中宋"/>
          <w:b w:val="0"/>
          <w:bCs w:val="0"/>
        </w:rPr>
      </w:pPr>
    </w:p>
    <w:bookmarkEnd w:id="4"/>
    <w:bookmarkEnd w:id="5"/>
    <w:bookmarkEnd w:id="6"/>
    <w:bookmarkEnd w:id="7"/>
    <w:bookmarkEnd w:id="8"/>
    <w:bookmarkEnd w:id="9"/>
    <w:bookmarkEnd w:id="10"/>
    <w:p w14:paraId="3EE7A6D3">
      <w:pPr>
        <w:pStyle w:val="3"/>
        <w:keepNext w:val="0"/>
        <w:keepLines w:val="0"/>
        <w:spacing w:before="0" w:after="0" w:line="700" w:lineRule="exact"/>
        <w:jc w:val="center"/>
        <w:rPr>
          <w:rFonts w:ascii="方正小标宋_GBK" w:eastAsia="方正小标宋_GBK"/>
          <w:b w:val="0"/>
          <w:bCs w:val="0"/>
        </w:rPr>
        <w:sectPr>
          <w:footerReference r:id="rId7" w:type="first"/>
          <w:footerReference r:id="rId6" w:type="default"/>
          <w:footnotePr>
            <w:numRestart w:val="eachPage"/>
          </w:footnotePr>
          <w:pgSz w:w="11906" w:h="16838"/>
          <w:pgMar w:top="1814" w:right="1531" w:bottom="1588" w:left="1531" w:header="851" w:footer="1304" w:gutter="0"/>
          <w:pgNumType w:start="1"/>
          <w:cols w:space="720" w:num="1"/>
          <w:titlePg/>
          <w:docGrid w:type="lines" w:linePitch="312" w:charSpace="0"/>
        </w:sectPr>
      </w:pPr>
      <w:bookmarkStart w:id="11" w:name="_Toc60466202"/>
    </w:p>
    <w:p w14:paraId="03DB7796">
      <w:pPr>
        <w:pStyle w:val="3"/>
        <w:keepNext w:val="0"/>
        <w:keepLines w:val="0"/>
        <w:spacing w:before="0" w:after="0" w:line="700" w:lineRule="exact"/>
        <w:jc w:val="center"/>
        <w:rPr>
          <w:rFonts w:ascii="方正小标宋_GBK" w:eastAsia="方正小标宋_GBK"/>
          <w:b w:val="0"/>
          <w:bCs w:val="0"/>
        </w:rPr>
      </w:pPr>
      <w:r>
        <w:rPr>
          <w:rFonts w:hint="eastAsia" w:ascii="方正小标宋_GBK" w:eastAsia="方正小标宋_GBK" w:cs="方正小标宋_GBK"/>
          <w:b w:val="0"/>
          <w:bCs w:val="0"/>
        </w:rPr>
        <w:t>第一篇</w:t>
      </w:r>
      <w:r>
        <w:rPr>
          <w:rFonts w:ascii="方正小标宋_GBK" w:eastAsia="方正小标宋_GBK" w:cs="方正小标宋_GBK"/>
          <w:b w:val="0"/>
          <w:bCs w:val="0"/>
        </w:rPr>
        <w:t xml:space="preserve"> </w:t>
      </w:r>
      <w:r>
        <w:rPr>
          <w:rFonts w:hint="eastAsia" w:ascii="方正小标宋_GBK" w:eastAsia="方正小标宋_GBK" w:cs="方正小标宋_GBK"/>
          <w:b w:val="0"/>
          <w:bCs w:val="0"/>
        </w:rPr>
        <w:t>开启基本实现社会主义现代化建设新征程</w:t>
      </w:r>
      <w:bookmarkStart w:id="12" w:name="_Toc17674"/>
      <w:r>
        <w:rPr>
          <w:rFonts w:hint="eastAsia" w:ascii="方正小标宋_GBK" w:eastAsia="方正小标宋_GBK" w:cs="方正小标宋_GBK"/>
          <w:b w:val="0"/>
          <w:bCs w:val="0"/>
        </w:rPr>
        <w:t>推动“强富美高”新秦淮发展再起航</w:t>
      </w:r>
      <w:bookmarkEnd w:id="11"/>
      <w:bookmarkEnd w:id="12"/>
    </w:p>
    <w:p w14:paraId="152CBAF6">
      <w:pPr>
        <w:pStyle w:val="2"/>
        <w:spacing w:line="540" w:lineRule="exact"/>
        <w:ind w:firstLine="640"/>
        <w:rPr>
          <w:rFonts w:eastAsia="仿宋"/>
          <w:sz w:val="32"/>
          <w:szCs w:val="32"/>
        </w:rPr>
      </w:pPr>
      <w:bookmarkStart w:id="13" w:name="_Toc426387890"/>
      <w:bookmarkStart w:id="14" w:name="_Toc435210307"/>
      <w:bookmarkStart w:id="15" w:name="_Toc436925392"/>
      <w:bookmarkStart w:id="16" w:name="_Toc435210081"/>
      <w:bookmarkStart w:id="17" w:name="_Toc435213975"/>
      <w:bookmarkStart w:id="18" w:name="_Toc436730127"/>
    </w:p>
    <w:p w14:paraId="4C4F4773">
      <w:pPr>
        <w:spacing w:line="590" w:lineRule="exact"/>
        <w:ind w:firstLine="629"/>
        <w:rPr>
          <w:rFonts w:eastAsia="方正仿宋_GBK"/>
          <w:sz w:val="32"/>
          <w:szCs w:val="32"/>
        </w:rPr>
      </w:pPr>
      <w:r>
        <w:rPr>
          <w:rFonts w:eastAsia="方正仿宋_GBK"/>
          <w:sz w:val="32"/>
          <w:szCs w:val="32"/>
        </w:rPr>
        <w:t>“</w:t>
      </w:r>
      <w:r>
        <w:rPr>
          <w:rFonts w:hint="eastAsia" w:eastAsia="方正仿宋_GBK" w:cs="方正仿宋_GBK"/>
          <w:sz w:val="32"/>
          <w:szCs w:val="32"/>
        </w:rPr>
        <w:t>十三五</w:t>
      </w:r>
      <w:r>
        <w:rPr>
          <w:rFonts w:eastAsia="方正仿宋_GBK"/>
          <w:sz w:val="32"/>
          <w:szCs w:val="32"/>
        </w:rPr>
        <w:t>”</w:t>
      </w:r>
      <w:r>
        <w:rPr>
          <w:rFonts w:hint="eastAsia" w:eastAsia="方正仿宋_GBK" w:cs="方正仿宋_GBK"/>
          <w:sz w:val="32"/>
          <w:szCs w:val="32"/>
        </w:rPr>
        <w:t>期间，面对国内外各种风险明显增多，挑战明显增大，局势错综复杂的局面，全区上下坚持以习近平新时代中国特色社会主义思想为指导，全面贯彻习近平总书记关于江苏工作的重要讲话和指示精神，深入落实党中央、国务院，省委、省政府和市委、市政府的决策部署，坚持稳中求进工作总基调，自觉践行新发展理念，以推动高质量发展为主题，对标找差、创新实干，奋力夺取疫情防控和经济社会发展双胜利，基本完成</w:t>
      </w:r>
      <w:r>
        <w:rPr>
          <w:rFonts w:eastAsia="方正仿宋_GBK"/>
          <w:sz w:val="32"/>
          <w:szCs w:val="32"/>
        </w:rPr>
        <w:t>“</w:t>
      </w:r>
      <w:r>
        <w:rPr>
          <w:rFonts w:hint="eastAsia" w:eastAsia="方正仿宋_GBK" w:cs="方正仿宋_GBK"/>
          <w:sz w:val="32"/>
          <w:szCs w:val="32"/>
        </w:rPr>
        <w:t>十三五</w:t>
      </w:r>
      <w:r>
        <w:rPr>
          <w:rFonts w:eastAsia="方正仿宋_GBK"/>
          <w:sz w:val="32"/>
          <w:szCs w:val="32"/>
        </w:rPr>
        <w:t>”</w:t>
      </w:r>
      <w:r>
        <w:rPr>
          <w:rFonts w:hint="eastAsia" w:eastAsia="方正仿宋_GBK" w:cs="方正仿宋_GBK"/>
          <w:sz w:val="32"/>
          <w:szCs w:val="32"/>
        </w:rPr>
        <w:t>规划确定的主要目标任务。</w:t>
      </w:r>
    </w:p>
    <w:p w14:paraId="4EEF3BAB">
      <w:pPr>
        <w:pStyle w:val="4"/>
        <w:keepNext w:val="0"/>
        <w:keepLines w:val="0"/>
        <w:numPr>
          <w:ilvl w:val="0"/>
          <w:numId w:val="1"/>
        </w:numPr>
        <w:spacing w:beforeLines="100" w:afterLines="100" w:line="540" w:lineRule="exact"/>
        <w:jc w:val="center"/>
        <w:rPr>
          <w:rFonts w:ascii="方正黑体_GBK" w:hAnsi="方正黑体_GBK" w:eastAsia="方正黑体_GBK" w:cs="Times New Roman"/>
          <w:b w:val="0"/>
          <w:bCs w:val="0"/>
        </w:rPr>
      </w:pPr>
      <w:bookmarkStart w:id="19" w:name="_Toc439776006"/>
      <w:bookmarkStart w:id="20" w:name="_Toc60466203"/>
      <w:r>
        <w:rPr>
          <w:rFonts w:hint="eastAsia" w:ascii="方正黑体_GBK" w:hAnsi="方正黑体_GBK" w:eastAsia="方正黑体_GBK" w:cs="方正黑体_GBK"/>
          <w:b w:val="0"/>
          <w:bCs w:val="0"/>
        </w:rPr>
        <w:t>发展</w:t>
      </w:r>
      <w:bookmarkEnd w:id="13"/>
      <w:bookmarkEnd w:id="14"/>
      <w:bookmarkEnd w:id="15"/>
      <w:bookmarkEnd w:id="16"/>
      <w:bookmarkEnd w:id="17"/>
      <w:bookmarkEnd w:id="18"/>
      <w:bookmarkEnd w:id="19"/>
      <w:r>
        <w:rPr>
          <w:rFonts w:hint="eastAsia" w:ascii="方正黑体_GBK" w:hAnsi="方正黑体_GBK" w:eastAsia="方正黑体_GBK" w:cs="方正黑体_GBK"/>
          <w:b w:val="0"/>
          <w:bCs w:val="0"/>
        </w:rPr>
        <w:t>基础</w:t>
      </w:r>
      <w:bookmarkEnd w:id="20"/>
    </w:p>
    <w:p w14:paraId="5108BC3B">
      <w:pPr>
        <w:spacing w:line="590" w:lineRule="exact"/>
        <w:ind w:firstLine="629"/>
        <w:rPr>
          <w:rFonts w:eastAsia="方正仿宋_GBK"/>
          <w:sz w:val="32"/>
          <w:szCs w:val="32"/>
        </w:rPr>
      </w:pPr>
      <w:r>
        <w:rPr>
          <w:rFonts w:hint="eastAsia" w:eastAsia="方正仿宋_GBK" w:cs="方正仿宋_GBK"/>
          <w:sz w:val="32"/>
          <w:szCs w:val="32"/>
        </w:rPr>
        <w:t>五年来，围绕打破载体空间有限、创新动力不足、民生短板待补等制约区域发展的瓶颈，推进产业升级、集聚创新资源、打造优质载体、优化营商环境，推进公共服务均衡布局、社会事业提质、城市精细建管、生态环境改善、富民惠民保障、社会治理创新，立足区情、科学谋划、锐意改革，走出了一条具有秦淮特色的高质量发展道路。</w:t>
      </w:r>
    </w:p>
    <w:p w14:paraId="4539CCE4">
      <w:pPr>
        <w:spacing w:line="590" w:lineRule="exact"/>
        <w:ind w:firstLine="629"/>
        <w:rPr>
          <w:rFonts w:eastAsia="方正仿宋_GBK"/>
          <w:sz w:val="32"/>
          <w:szCs w:val="32"/>
        </w:rPr>
      </w:pPr>
      <w:r>
        <w:rPr>
          <w:rFonts w:hint="eastAsia" w:eastAsia="方正仿宋_GBK" w:cs="方正仿宋_GBK"/>
          <w:sz w:val="32"/>
          <w:szCs w:val="32"/>
        </w:rPr>
        <w:t>经济综合实力提质增效。地区生产总值提前一年完成“十三五”时期确定的</w:t>
      </w:r>
      <w:r>
        <w:rPr>
          <w:rFonts w:eastAsia="方正仿宋_GBK"/>
          <w:sz w:val="32"/>
          <w:szCs w:val="32"/>
        </w:rPr>
        <w:t>1000</w:t>
      </w:r>
      <w:r>
        <w:rPr>
          <w:rFonts w:hint="eastAsia" w:eastAsia="方正仿宋_GBK" w:cs="方正仿宋_GBK"/>
          <w:sz w:val="32"/>
          <w:szCs w:val="32"/>
        </w:rPr>
        <w:t>亿元目标任务，</w:t>
      </w:r>
      <w:r>
        <w:rPr>
          <w:rFonts w:eastAsia="方正仿宋_GBK"/>
          <w:sz w:val="32"/>
          <w:szCs w:val="32"/>
        </w:rPr>
        <w:t>2020</w:t>
      </w:r>
      <w:r>
        <w:rPr>
          <w:rFonts w:hint="eastAsia" w:eastAsia="方正仿宋_GBK" w:cs="方正仿宋_GBK"/>
          <w:sz w:val="32"/>
          <w:szCs w:val="32"/>
        </w:rPr>
        <w:t>年达</w:t>
      </w:r>
      <w:r>
        <w:rPr>
          <w:rFonts w:eastAsia="方正仿宋_GBK"/>
          <w:sz w:val="32"/>
          <w:szCs w:val="32"/>
        </w:rPr>
        <w:t>1286</w:t>
      </w:r>
      <w:r>
        <w:rPr>
          <w:rFonts w:hint="eastAsia" w:eastAsia="方正仿宋_GBK" w:cs="方正仿宋_GBK"/>
          <w:sz w:val="32"/>
          <w:szCs w:val="32"/>
        </w:rPr>
        <w:t>亿元，服务业增加值占</w:t>
      </w:r>
      <w:r>
        <w:rPr>
          <w:rFonts w:eastAsia="方正仿宋_GBK"/>
          <w:sz w:val="32"/>
          <w:szCs w:val="32"/>
        </w:rPr>
        <w:t>GDP</w:t>
      </w:r>
      <w:r>
        <w:rPr>
          <w:rFonts w:hint="eastAsia" w:eastAsia="方正仿宋_GBK" w:cs="方正仿宋_GBK"/>
          <w:sz w:val="32"/>
          <w:szCs w:val="32"/>
        </w:rPr>
        <w:t>比重超</w:t>
      </w:r>
      <w:r>
        <w:rPr>
          <w:rFonts w:eastAsia="方正仿宋_GBK"/>
          <w:sz w:val="32"/>
          <w:szCs w:val="32"/>
        </w:rPr>
        <w:t>92%</w:t>
      </w:r>
      <w:r>
        <w:rPr>
          <w:rFonts w:hint="eastAsia" w:eastAsia="方正仿宋_GBK" w:cs="方正仿宋_GBK"/>
          <w:sz w:val="32"/>
          <w:szCs w:val="32"/>
        </w:rPr>
        <w:t>。一般公共预算收入提前一年完成“十三五”时期确定的</w:t>
      </w:r>
      <w:r>
        <w:rPr>
          <w:rFonts w:eastAsia="方正仿宋_GBK"/>
          <w:sz w:val="32"/>
          <w:szCs w:val="32"/>
        </w:rPr>
        <w:t>100</w:t>
      </w:r>
      <w:r>
        <w:rPr>
          <w:rFonts w:hint="eastAsia" w:eastAsia="方正仿宋_GBK" w:cs="方正仿宋_GBK"/>
          <w:sz w:val="32"/>
          <w:szCs w:val="32"/>
        </w:rPr>
        <w:t>亿元目标任务，</w:t>
      </w:r>
      <w:r>
        <w:rPr>
          <w:rFonts w:eastAsia="方正仿宋_GBK"/>
          <w:sz w:val="32"/>
          <w:szCs w:val="32"/>
        </w:rPr>
        <w:t>2020</w:t>
      </w:r>
      <w:r>
        <w:rPr>
          <w:rFonts w:hint="eastAsia" w:eastAsia="方正仿宋_GBK" w:cs="方正仿宋_GBK"/>
          <w:sz w:val="32"/>
          <w:szCs w:val="32"/>
        </w:rPr>
        <w:t>年达</w:t>
      </w:r>
      <w:r>
        <w:rPr>
          <w:rFonts w:eastAsia="方正仿宋_GBK"/>
          <w:sz w:val="32"/>
          <w:szCs w:val="32"/>
        </w:rPr>
        <w:t>100.1</w:t>
      </w:r>
      <w:r>
        <w:rPr>
          <w:rFonts w:hint="eastAsia" w:eastAsia="方正仿宋_GBK" w:cs="方正仿宋_GBK"/>
          <w:sz w:val="32"/>
          <w:szCs w:val="32"/>
        </w:rPr>
        <w:t>亿元。以产业聚焦和主体功能区改革为主线，新街口金融商务区、老城南文化旅游区、东部高新技术产业集聚区和南部新城高铁枢纽经济区四大板块产业特色更鲜明。重点打造现代金融服务、高端商务商贸、文化旅游、软件和信息服务</w:t>
      </w:r>
      <w:r>
        <w:rPr>
          <w:rFonts w:eastAsia="方正仿宋_GBK"/>
          <w:sz w:val="32"/>
          <w:szCs w:val="32"/>
        </w:rPr>
        <w:t>4</w:t>
      </w:r>
      <w:r>
        <w:rPr>
          <w:rFonts w:hint="eastAsia" w:eastAsia="方正仿宋_GBK" w:cs="方正仿宋_GBK"/>
          <w:sz w:val="32"/>
          <w:szCs w:val="32"/>
        </w:rPr>
        <w:t>个主导产业，培育物联网产业，创建省级车联网先导区，打造“悦动新门西”物联网产业基地，形成“</w:t>
      </w:r>
      <w:r>
        <w:rPr>
          <w:rFonts w:eastAsia="方正仿宋_GBK"/>
          <w:sz w:val="32"/>
          <w:szCs w:val="32"/>
        </w:rPr>
        <w:t>4+1</w:t>
      </w:r>
      <w:r>
        <w:rPr>
          <w:rFonts w:hint="eastAsia" w:eastAsia="方正仿宋_GBK" w:cs="方正仿宋_GBK"/>
          <w:sz w:val="32"/>
          <w:szCs w:val="32"/>
        </w:rPr>
        <w:t>”主导产业体系。高质量企业加速集聚，新增南钢国贸、联通物联网等规模以上企业</w:t>
      </w:r>
      <w:r>
        <w:rPr>
          <w:rFonts w:eastAsia="方正仿宋_GBK"/>
          <w:sz w:val="32"/>
          <w:szCs w:val="32"/>
        </w:rPr>
        <w:t>859</w:t>
      </w:r>
      <w:r>
        <w:rPr>
          <w:rFonts w:hint="eastAsia" w:eastAsia="方正仿宋_GBK" w:cs="方正仿宋_GBK"/>
          <w:sz w:val="32"/>
          <w:szCs w:val="32"/>
        </w:rPr>
        <w:t>家；汇集华设设计、中航无人机等市级总部企业</w:t>
      </w:r>
      <w:r>
        <w:rPr>
          <w:rFonts w:eastAsia="方正仿宋_GBK"/>
          <w:sz w:val="32"/>
          <w:szCs w:val="32"/>
        </w:rPr>
        <w:t>33</w:t>
      </w:r>
      <w:r>
        <w:rPr>
          <w:rFonts w:hint="eastAsia" w:eastAsia="方正仿宋_GBK" w:cs="方正仿宋_GBK"/>
          <w:sz w:val="32"/>
          <w:szCs w:val="32"/>
        </w:rPr>
        <w:t>家，全市总量占比</w:t>
      </w:r>
      <w:r>
        <w:rPr>
          <w:rFonts w:eastAsia="方正仿宋_GBK"/>
          <w:sz w:val="32"/>
          <w:szCs w:val="32"/>
        </w:rPr>
        <w:t>16%</w:t>
      </w:r>
      <w:r>
        <w:rPr>
          <w:rFonts w:hint="eastAsia" w:eastAsia="方正仿宋_GBK" w:cs="方正仿宋_GBK"/>
          <w:sz w:val="32"/>
          <w:szCs w:val="32"/>
        </w:rPr>
        <w:t>；集聚江苏银行等主板上市企业</w:t>
      </w:r>
      <w:r>
        <w:rPr>
          <w:rFonts w:eastAsia="方正仿宋_GBK"/>
          <w:sz w:val="32"/>
          <w:szCs w:val="32"/>
        </w:rPr>
        <w:t>10</w:t>
      </w:r>
      <w:r>
        <w:rPr>
          <w:rFonts w:hint="eastAsia" w:eastAsia="方正仿宋_GBK" w:cs="方正仿宋_GBK"/>
          <w:sz w:val="32"/>
          <w:szCs w:val="32"/>
        </w:rPr>
        <w:t>家，秦淮风光、云创大数据等新三板、区域股权转让系统挂牌企业</w:t>
      </w:r>
      <w:r>
        <w:rPr>
          <w:rFonts w:eastAsia="方正仿宋_GBK"/>
          <w:sz w:val="32"/>
          <w:szCs w:val="32"/>
        </w:rPr>
        <w:t>61</w:t>
      </w:r>
      <w:r>
        <w:rPr>
          <w:rFonts w:hint="eastAsia" w:eastAsia="方正仿宋_GBK" w:cs="方正仿宋_GBK"/>
          <w:sz w:val="32"/>
          <w:szCs w:val="32"/>
        </w:rPr>
        <w:t>家；新增锦创科技、贝登医疗等培育独角兽企业</w:t>
      </w:r>
      <w:r>
        <w:rPr>
          <w:rFonts w:eastAsia="方正仿宋_GBK"/>
          <w:sz w:val="32"/>
          <w:szCs w:val="32"/>
        </w:rPr>
        <w:t>9</w:t>
      </w:r>
      <w:r>
        <w:rPr>
          <w:rFonts w:hint="eastAsia" w:eastAsia="方正仿宋_GBK" w:cs="方正仿宋_GBK"/>
          <w:sz w:val="32"/>
          <w:szCs w:val="32"/>
        </w:rPr>
        <w:t>家，普旭软件、新通智能等瞪羚企业</w:t>
      </w:r>
      <w:r>
        <w:rPr>
          <w:rFonts w:eastAsia="方正仿宋_GBK"/>
          <w:sz w:val="32"/>
          <w:szCs w:val="32"/>
        </w:rPr>
        <w:t>21</w:t>
      </w:r>
      <w:r>
        <w:rPr>
          <w:rFonts w:hint="eastAsia" w:eastAsia="方正仿宋_GBK" w:cs="方正仿宋_GBK"/>
          <w:sz w:val="32"/>
          <w:szCs w:val="32"/>
        </w:rPr>
        <w:t>家。区重大项目推进办公室实体化运作，累计推进紫云智慧广场、白下高新区数据产业园等产业发展类，南部新城市中医院、南外新校区等社会事业类项目共</w:t>
      </w:r>
      <w:r>
        <w:rPr>
          <w:rFonts w:eastAsia="方正仿宋_GBK"/>
          <w:sz w:val="32"/>
          <w:szCs w:val="32"/>
        </w:rPr>
        <w:t>113</w:t>
      </w:r>
      <w:r>
        <w:rPr>
          <w:rFonts w:hint="eastAsia" w:eastAsia="方正仿宋_GBK" w:cs="方正仿宋_GBK"/>
          <w:sz w:val="32"/>
          <w:szCs w:val="32"/>
        </w:rPr>
        <w:t>个，完成重大项目投资</w:t>
      </w:r>
      <w:r>
        <w:rPr>
          <w:rFonts w:eastAsia="方正仿宋_GBK"/>
          <w:sz w:val="32"/>
          <w:szCs w:val="32"/>
        </w:rPr>
        <w:t>833.67</w:t>
      </w:r>
      <w:r>
        <w:rPr>
          <w:rFonts w:hint="eastAsia" w:eastAsia="方正仿宋_GBK" w:cs="方正仿宋_GBK"/>
          <w:sz w:val="32"/>
          <w:szCs w:val="32"/>
        </w:rPr>
        <w:t>亿元。</w:t>
      </w:r>
    </w:p>
    <w:p w14:paraId="5355B125">
      <w:pPr>
        <w:spacing w:line="590" w:lineRule="exact"/>
        <w:ind w:firstLine="629"/>
        <w:rPr>
          <w:rFonts w:eastAsia="方正仿宋_GBK"/>
          <w:sz w:val="32"/>
          <w:szCs w:val="32"/>
        </w:rPr>
      </w:pPr>
      <w:r>
        <w:rPr>
          <w:rFonts w:hint="eastAsia" w:eastAsia="方正仿宋_GBK" w:cs="方正仿宋_GBK"/>
          <w:sz w:val="32"/>
          <w:szCs w:val="32"/>
        </w:rPr>
        <w:t>科技创新实践活力激发。深化创新名城建设，以白下高新区为主阵地，首提“一区多园”管理模式，“城市硅巷”全市率先破题，“创新湾区”发展生态首次建立，科技创新溢出效应大幅彰显。</w:t>
      </w:r>
      <w:r>
        <w:rPr>
          <w:rFonts w:eastAsia="方正仿宋_GBK"/>
          <w:sz w:val="32"/>
          <w:szCs w:val="32"/>
        </w:rPr>
        <w:t>OPPO</w:t>
      </w:r>
      <w:r>
        <w:rPr>
          <w:rFonts w:hint="eastAsia" w:eastAsia="方正仿宋_GBK" w:cs="方正仿宋_GBK"/>
          <w:sz w:val="32"/>
          <w:szCs w:val="32"/>
        </w:rPr>
        <w:t>至美科技广场开工建设，中电芯谷等</w:t>
      </w:r>
      <w:r>
        <w:rPr>
          <w:rFonts w:eastAsia="方正仿宋_GBK"/>
          <w:sz w:val="32"/>
          <w:szCs w:val="32"/>
        </w:rPr>
        <w:t>18</w:t>
      </w:r>
      <w:r>
        <w:rPr>
          <w:rFonts w:hint="eastAsia" w:eastAsia="方正仿宋_GBK" w:cs="方正仿宋_GBK"/>
          <w:sz w:val="32"/>
          <w:szCs w:val="32"/>
        </w:rPr>
        <w:t>家新型研发机构落地，共孵化引进企业</w:t>
      </w:r>
      <w:r>
        <w:rPr>
          <w:rFonts w:eastAsia="方正仿宋_GBK"/>
          <w:sz w:val="32"/>
          <w:szCs w:val="32"/>
        </w:rPr>
        <w:t>480</w:t>
      </w:r>
      <w:r>
        <w:rPr>
          <w:rFonts w:hint="eastAsia" w:eastAsia="方正仿宋_GBK" w:cs="方正仿宋_GBK"/>
          <w:sz w:val="32"/>
          <w:szCs w:val="32"/>
        </w:rPr>
        <w:t>家，</w:t>
      </w:r>
      <w:r>
        <w:rPr>
          <w:rFonts w:eastAsia="方正仿宋_GBK"/>
          <w:sz w:val="32"/>
          <w:szCs w:val="32"/>
        </w:rPr>
        <w:t>PCT</w:t>
      </w:r>
      <w:r>
        <w:rPr>
          <w:rFonts w:hint="eastAsia" w:eastAsia="方正仿宋_GBK" w:cs="方正仿宋_GBK"/>
          <w:sz w:val="32"/>
          <w:szCs w:val="32"/>
        </w:rPr>
        <w:t>专利申请量</w:t>
      </w:r>
      <w:r>
        <w:rPr>
          <w:rFonts w:eastAsia="方正仿宋_GBK"/>
          <w:sz w:val="32"/>
          <w:szCs w:val="32"/>
        </w:rPr>
        <w:t>107</w:t>
      </w:r>
      <w:r>
        <w:rPr>
          <w:rFonts w:hint="eastAsia" w:eastAsia="方正仿宋_GBK" w:cs="方正仿宋_GBK"/>
          <w:sz w:val="32"/>
          <w:szCs w:val="32"/>
        </w:rPr>
        <w:t>项，有效发明专利拥有量</w:t>
      </w:r>
      <w:r>
        <w:rPr>
          <w:rFonts w:eastAsia="方正仿宋_GBK"/>
          <w:sz w:val="32"/>
          <w:szCs w:val="32"/>
        </w:rPr>
        <w:t>6976</w:t>
      </w:r>
      <w:r>
        <w:rPr>
          <w:rFonts w:hint="eastAsia" w:eastAsia="方正仿宋_GBK" w:cs="方正仿宋_GBK"/>
          <w:sz w:val="32"/>
          <w:szCs w:val="32"/>
        </w:rPr>
        <w:t>项。“两落地一融合”成效显著，成立区创新委，建立秦淮科技智库，在全市率先实施校地干部互派挂职机制，校地联办创新创业大赛，吸引</w:t>
      </w:r>
      <w:r>
        <w:rPr>
          <w:rFonts w:eastAsia="方正仿宋_GBK"/>
          <w:sz w:val="32"/>
          <w:szCs w:val="32"/>
        </w:rPr>
        <w:t>5G</w:t>
      </w:r>
      <w:r>
        <w:rPr>
          <w:rFonts w:hint="eastAsia" w:eastAsia="方正仿宋_GBK" w:cs="方正仿宋_GBK"/>
          <w:sz w:val="32"/>
          <w:szCs w:val="32"/>
        </w:rPr>
        <w:t>物联网产业投资基金、南京华能华延股权投资等科创产业基金，引入海创岛、中关村科创高新技术转移促进会南京中心等专业科创服务机构，打造创新“强磁场”。成立全市首个完全市场化运作的招商中心，加强与上海交大、英国帝国理工等国内外高校院所对接，“生根出访”日本、芬兰等国，建立芬兰、瑞典等海外创新联络站，打造</w:t>
      </w:r>
      <w:r>
        <w:rPr>
          <w:rFonts w:eastAsia="方正仿宋_GBK"/>
          <w:sz w:val="32"/>
          <w:szCs w:val="32"/>
        </w:rPr>
        <w:t>2</w:t>
      </w:r>
      <w:r>
        <w:rPr>
          <w:rFonts w:hint="eastAsia" w:eastAsia="方正仿宋_GBK" w:cs="方正仿宋_GBK"/>
          <w:sz w:val="32"/>
          <w:szCs w:val="32"/>
        </w:rPr>
        <w:t>个海外协同创新中心，新增海外离岸孵化器、加速器、海外创新联络站和创新中心</w:t>
      </w:r>
      <w:r>
        <w:rPr>
          <w:rFonts w:eastAsia="方正仿宋_GBK"/>
          <w:sz w:val="32"/>
          <w:szCs w:val="32"/>
        </w:rPr>
        <w:t>7</w:t>
      </w:r>
      <w:r>
        <w:rPr>
          <w:rFonts w:hint="eastAsia" w:eastAsia="方正仿宋_GBK" w:cs="方正仿宋_GBK"/>
          <w:sz w:val="32"/>
          <w:szCs w:val="32"/>
        </w:rPr>
        <w:t>家。集聚科技顶尖专家</w:t>
      </w:r>
      <w:r>
        <w:rPr>
          <w:rFonts w:eastAsia="方正仿宋_GBK"/>
          <w:sz w:val="32"/>
          <w:szCs w:val="32"/>
        </w:rPr>
        <w:t>13</w:t>
      </w:r>
      <w:r>
        <w:rPr>
          <w:rFonts w:hint="eastAsia" w:eastAsia="方正仿宋_GBK" w:cs="方正仿宋_GBK"/>
          <w:sz w:val="32"/>
          <w:szCs w:val="32"/>
        </w:rPr>
        <w:t>名，省级企业院士工作站</w:t>
      </w:r>
      <w:r>
        <w:rPr>
          <w:rFonts w:eastAsia="方正仿宋_GBK"/>
          <w:sz w:val="32"/>
          <w:szCs w:val="32"/>
        </w:rPr>
        <w:t>7</w:t>
      </w:r>
      <w:r>
        <w:rPr>
          <w:rFonts w:hint="eastAsia" w:eastAsia="方正仿宋_GBK" w:cs="方正仿宋_GBK"/>
          <w:sz w:val="32"/>
          <w:szCs w:val="32"/>
        </w:rPr>
        <w:t>家，新增高技能人才</w:t>
      </w:r>
      <w:r>
        <w:rPr>
          <w:rFonts w:eastAsia="方正仿宋_GBK"/>
          <w:sz w:val="32"/>
          <w:szCs w:val="32"/>
        </w:rPr>
        <w:t>7620</w:t>
      </w:r>
      <w:r>
        <w:rPr>
          <w:rFonts w:hint="eastAsia" w:eastAsia="方正仿宋_GBK" w:cs="方正仿宋_GBK"/>
          <w:sz w:val="32"/>
          <w:szCs w:val="32"/>
        </w:rPr>
        <w:t>人，高新技术企业数达</w:t>
      </w:r>
      <w:r>
        <w:rPr>
          <w:rFonts w:eastAsia="方正仿宋_GBK"/>
          <w:sz w:val="32"/>
          <w:szCs w:val="32"/>
        </w:rPr>
        <w:t>420</w:t>
      </w:r>
      <w:r>
        <w:rPr>
          <w:rFonts w:hint="eastAsia" w:eastAsia="方正仿宋_GBK" w:cs="方正仿宋_GBK"/>
          <w:sz w:val="32"/>
          <w:szCs w:val="32"/>
        </w:rPr>
        <w:t>家。</w:t>
      </w:r>
    </w:p>
    <w:p w14:paraId="7E47F134">
      <w:pPr>
        <w:spacing w:line="590" w:lineRule="exact"/>
        <w:ind w:firstLine="629"/>
        <w:rPr>
          <w:rFonts w:eastAsia="方正仿宋_GBK"/>
          <w:sz w:val="32"/>
          <w:szCs w:val="32"/>
        </w:rPr>
      </w:pPr>
      <w:r>
        <w:rPr>
          <w:rFonts w:hint="eastAsia" w:eastAsia="方正仿宋_GBK" w:cs="方正仿宋_GBK"/>
          <w:sz w:val="32"/>
          <w:szCs w:val="32"/>
        </w:rPr>
        <w:t>老城保护更新风貌彰显。实施历史风貌区改造保护复兴，内外秦淮河全线贯通，明城墙空中廊道，城内、城外慢行绿道三线通畅，“城河一体”大格局轮廓逐渐清晰。畅通水系脉络，实施内秦淮河水环境治理，提升东、西五华里沿河景观亮化工程，开通西五华里水上游览线，实现内外秦淮河贯通。优化城墙面貌，推进明城墙环境整治，打造人文景观廊道，城墙博物馆建设启动。展现片区风貌，以夫子庙、门东等老城片区改造为核心牵引，带动周边城市形态、产业业态、人居环境全面提升，推进历史风貌区连带成片。完成太平南路复兴工程，推进三十四标、首建中心等文旅商产业项目建设，打造民国风情商业街区、旅游长廊和宜居社区。推进有机更新，完成慧园里、西白菜园等历史建筑修缮，小西湖片区开创“小尺度、渐进式”更新模式。新建明城墙沿线、内秦淮河南段等城市绿道，有机衔接城市慢行系统，老城休闲服务功能有效改善。完成新街口片区九龙大厦、粮食大厦等老旧楼宇品质提升，整治周边环境，优化车位配比，提升配套标准，老城产业承载能力有效提升。</w:t>
      </w:r>
      <w:r>
        <w:rPr>
          <w:rFonts w:eastAsia="方正仿宋_GBK"/>
          <w:sz w:val="32"/>
          <w:szCs w:val="32"/>
        </w:rPr>
        <w:t> </w:t>
      </w:r>
    </w:p>
    <w:p w14:paraId="2D9AB5CE">
      <w:pPr>
        <w:spacing w:line="590" w:lineRule="exact"/>
        <w:ind w:firstLine="629"/>
        <w:rPr>
          <w:rFonts w:eastAsia="方正仿宋_GBK"/>
          <w:sz w:val="32"/>
          <w:szCs w:val="32"/>
        </w:rPr>
      </w:pPr>
      <w:r>
        <w:rPr>
          <w:rFonts w:hint="eastAsia" w:eastAsia="方正仿宋_GBK" w:cs="方正仿宋_GBK"/>
          <w:sz w:val="32"/>
          <w:szCs w:val="32"/>
        </w:rPr>
        <w:t>新城开发建设框架拉开。南部新城完成土地征收，基本完成核心区土地整理，为加快新城建设腾出发展空间。完成新城智慧城市顶层设计方案，绿色生态等</w:t>
      </w:r>
      <w:r>
        <w:rPr>
          <w:rFonts w:eastAsia="方正仿宋_GBK"/>
          <w:sz w:val="32"/>
          <w:szCs w:val="32"/>
        </w:rPr>
        <w:t>26</w:t>
      </w:r>
      <w:r>
        <w:rPr>
          <w:rFonts w:hint="eastAsia" w:eastAsia="方正仿宋_GBK" w:cs="方正仿宋_GBK"/>
          <w:sz w:val="32"/>
          <w:szCs w:val="32"/>
        </w:rPr>
        <w:t>项专项规划和设计导则通过评审，</w:t>
      </w:r>
      <w:r>
        <w:rPr>
          <w:rFonts w:eastAsia="方正仿宋_GBK"/>
          <w:sz w:val="32"/>
          <w:szCs w:val="32"/>
        </w:rPr>
        <w:t>18</w:t>
      </w:r>
      <w:r>
        <w:rPr>
          <w:rFonts w:hint="eastAsia" w:eastAsia="方正仿宋_GBK" w:cs="方正仿宋_GBK"/>
          <w:sz w:val="32"/>
          <w:szCs w:val="32"/>
        </w:rPr>
        <w:t>个地块完成出让。规划设计先行引领，完善新城规划体系，完成有轨电车沿线、油库公园等设计，推进机场跑道地下空间、跑道公园、能源系统等专项规划；推动“多规合一”和全要素管控图则管理，制定建筑风貌管控办法，构建基于</w:t>
      </w:r>
      <w:r>
        <w:rPr>
          <w:rFonts w:eastAsia="方正仿宋_GBK"/>
          <w:sz w:val="32"/>
          <w:szCs w:val="32"/>
        </w:rPr>
        <w:t>CIM</w:t>
      </w:r>
      <w:r>
        <w:rPr>
          <w:rFonts w:hint="eastAsia" w:eastAsia="方正仿宋_GBK" w:cs="方正仿宋_GBK"/>
          <w:sz w:val="32"/>
          <w:szCs w:val="32"/>
        </w:rPr>
        <w:t>的数字规划设计管控平台。交通路网建设提速，创新使用</w:t>
      </w:r>
      <w:r>
        <w:rPr>
          <w:rFonts w:eastAsia="方正仿宋_GBK"/>
          <w:sz w:val="32"/>
          <w:szCs w:val="32"/>
        </w:rPr>
        <w:t>EPC</w:t>
      </w:r>
      <w:r>
        <w:rPr>
          <w:rFonts w:hint="eastAsia" w:eastAsia="方正仿宋_GBK" w:cs="方正仿宋_GBK"/>
          <w:sz w:val="32"/>
          <w:szCs w:val="32"/>
        </w:rPr>
        <w:t>管理模式，完成冶修二路、国际路跨外秦淮河桥梁建设，建成东风河路、校场一路等街区道路，推进承天大道、国际路等断头路节点工程，完成机场河、广洋北河河道开挖，启动承天大道管廊、机场路管廊等区域综合管廊体系建设。公共配套不断完善，南部新城医疗中心挂牌运营，中芬合作交流中心、中国第二历史档案馆、故宫南迁文物博物院、南外南部新城等重大项目加速推进。智慧城市提前布局，编制智慧城市总体设计方案和建设服务管理办法，实施</w:t>
      </w:r>
      <w:r>
        <w:rPr>
          <w:rFonts w:eastAsia="方正仿宋_GBK"/>
          <w:sz w:val="32"/>
          <w:szCs w:val="32"/>
        </w:rPr>
        <w:t>5G</w:t>
      </w:r>
      <w:r>
        <w:rPr>
          <w:rFonts w:hint="eastAsia" w:eastAsia="方正仿宋_GBK" w:cs="方正仿宋_GBK"/>
          <w:sz w:val="32"/>
          <w:szCs w:val="32"/>
        </w:rPr>
        <w:t>网络全覆盖，推进智慧工地、智慧水务等应用先行先试，加快建设智慧管廊、智慧能源、</w:t>
      </w:r>
      <w:r>
        <w:rPr>
          <w:rFonts w:hint="eastAsia" w:eastAsia="方正仿宋_GBK" w:cs="方正仿宋_GBK"/>
          <w:spacing w:val="-17"/>
          <w:sz w:val="32"/>
          <w:szCs w:val="32"/>
        </w:rPr>
        <w:t>智慧交通等融合基础设施。</w:t>
      </w:r>
    </w:p>
    <w:p w14:paraId="0BB7FABF">
      <w:pPr>
        <w:spacing w:line="590" w:lineRule="exact"/>
        <w:ind w:firstLine="629"/>
        <w:rPr>
          <w:rFonts w:eastAsia="方正仿宋_GBK"/>
          <w:sz w:val="32"/>
          <w:szCs w:val="32"/>
        </w:rPr>
      </w:pPr>
      <w:r>
        <w:rPr>
          <w:rFonts w:hint="eastAsia" w:eastAsia="方正仿宋_GBK" w:cs="方正仿宋_GBK"/>
          <w:sz w:val="32"/>
          <w:szCs w:val="32"/>
        </w:rPr>
        <w:t>营商环境服务有效提升。深化审批服务制度集成改革，</w:t>
      </w:r>
      <w:r>
        <w:rPr>
          <w:rFonts w:eastAsia="方正仿宋_GBK"/>
          <w:sz w:val="32"/>
          <w:szCs w:val="32"/>
        </w:rPr>
        <w:t>13</w:t>
      </w:r>
      <w:r>
        <w:rPr>
          <w:rFonts w:hint="eastAsia" w:eastAsia="方正仿宋_GBK" w:cs="方正仿宋_GBK"/>
          <w:sz w:val="32"/>
          <w:szCs w:val="32"/>
        </w:rPr>
        <w:t>个部门</w:t>
      </w:r>
      <w:r>
        <w:rPr>
          <w:rFonts w:eastAsia="方正仿宋_GBK"/>
          <w:sz w:val="32"/>
          <w:szCs w:val="32"/>
        </w:rPr>
        <w:t>100</w:t>
      </w:r>
      <w:r>
        <w:rPr>
          <w:rFonts w:hint="eastAsia" w:eastAsia="方正仿宋_GBK" w:cs="方正仿宋_GBK"/>
          <w:sz w:val="32"/>
          <w:szCs w:val="32"/>
        </w:rPr>
        <w:t>项事项集中到行政审批局，实现“一枚印章管审批”。集成市场监管、文化旅游、商务、城管等多部门企业市场准入及准营事项，推出一窗综办套餐式服务窗口挂牌运行，基本实现企业开办</w:t>
      </w:r>
      <w:r>
        <w:rPr>
          <w:rFonts w:eastAsia="方正仿宋_GBK"/>
          <w:sz w:val="32"/>
          <w:szCs w:val="32"/>
        </w:rPr>
        <w:t>3</w:t>
      </w:r>
      <w:r>
        <w:rPr>
          <w:rFonts w:hint="eastAsia" w:eastAsia="方正仿宋_GBK" w:cs="方正仿宋_GBK"/>
          <w:sz w:val="32"/>
          <w:szCs w:val="32"/>
        </w:rPr>
        <w:t>个工作日内办结。打造“一窗受理、材料共享、数据流转、联合办理”的新型服务模式，平均审批时限缩短一半以上，审批材料减少三分之一。建成南京市主城区最大的办税服务厅，在全市率先打造</w:t>
      </w:r>
      <w:r>
        <w:rPr>
          <w:rFonts w:eastAsia="方正仿宋_GBK"/>
          <w:sz w:val="32"/>
          <w:szCs w:val="32"/>
        </w:rPr>
        <w:t>24</w:t>
      </w:r>
      <w:r>
        <w:rPr>
          <w:rFonts w:hint="eastAsia" w:eastAsia="方正仿宋_GBK" w:cs="方正仿宋_GBK"/>
          <w:sz w:val="32"/>
          <w:szCs w:val="32"/>
        </w:rPr>
        <w:t>小时自助办税区。完善街道便民服务中心功能，实现</w:t>
      </w:r>
      <w:r>
        <w:rPr>
          <w:rFonts w:eastAsia="方正仿宋_GBK"/>
          <w:sz w:val="32"/>
          <w:szCs w:val="32"/>
        </w:rPr>
        <w:t>128</w:t>
      </w:r>
      <w:r>
        <w:rPr>
          <w:rFonts w:hint="eastAsia" w:eastAsia="方正仿宋_GBK" w:cs="方正仿宋_GBK"/>
          <w:sz w:val="32"/>
          <w:szCs w:val="32"/>
        </w:rPr>
        <w:t>项事项“就近可办”、</w:t>
      </w:r>
      <w:r>
        <w:rPr>
          <w:rFonts w:eastAsia="方正仿宋_GBK"/>
          <w:sz w:val="32"/>
          <w:szCs w:val="32"/>
        </w:rPr>
        <w:t>93</w:t>
      </w:r>
      <w:r>
        <w:rPr>
          <w:rFonts w:hint="eastAsia" w:eastAsia="方正仿宋_GBK" w:cs="方正仿宋_GBK"/>
          <w:sz w:val="32"/>
          <w:szCs w:val="32"/>
        </w:rPr>
        <w:t>项事项“一网通办”、</w:t>
      </w:r>
      <w:r>
        <w:rPr>
          <w:rFonts w:eastAsia="方正仿宋_GBK"/>
          <w:sz w:val="32"/>
          <w:szCs w:val="32"/>
        </w:rPr>
        <w:t>82</w:t>
      </w:r>
      <w:r>
        <w:rPr>
          <w:rFonts w:hint="eastAsia" w:eastAsia="方正仿宋_GBK" w:cs="方正仿宋_GBK"/>
          <w:sz w:val="32"/>
          <w:szCs w:val="32"/>
        </w:rPr>
        <w:t>项事项“一区通办”，推行“不打烊”自助服务，实现“</w:t>
      </w:r>
      <w:r>
        <w:rPr>
          <w:rFonts w:eastAsia="方正仿宋_GBK"/>
          <w:sz w:val="32"/>
          <w:szCs w:val="32"/>
        </w:rPr>
        <w:t>7×24</w:t>
      </w:r>
      <w:r>
        <w:rPr>
          <w:rFonts w:hint="eastAsia" w:eastAsia="方正仿宋_GBK" w:cs="方正仿宋_GBK"/>
          <w:sz w:val="32"/>
          <w:szCs w:val="32"/>
        </w:rPr>
        <w:t>小时全时办”。推进“不见面审批”改革，搭建</w:t>
      </w:r>
      <w:r>
        <w:rPr>
          <w:rFonts w:eastAsia="方正仿宋_GBK"/>
          <w:sz w:val="32"/>
          <w:szCs w:val="32"/>
        </w:rPr>
        <w:t>34</w:t>
      </w:r>
      <w:r>
        <w:rPr>
          <w:rFonts w:hint="eastAsia" w:eastAsia="方正仿宋_GBK" w:cs="方正仿宋_GBK"/>
          <w:sz w:val="32"/>
          <w:szCs w:val="32"/>
        </w:rPr>
        <w:t>家部门</w:t>
      </w:r>
      <w:r>
        <w:rPr>
          <w:rFonts w:eastAsia="方正仿宋_GBK"/>
          <w:sz w:val="32"/>
          <w:szCs w:val="32"/>
        </w:rPr>
        <w:t>6</w:t>
      </w:r>
      <w:r>
        <w:rPr>
          <w:rFonts w:hint="eastAsia" w:eastAsia="方正仿宋_GBK" w:cs="方正仿宋_GBK"/>
          <w:sz w:val="32"/>
          <w:szCs w:val="32"/>
        </w:rPr>
        <w:t>类套餐式联办服务场景，区级不见面审批事项达</w:t>
      </w:r>
      <w:r>
        <w:rPr>
          <w:rFonts w:eastAsia="方正仿宋_GBK"/>
          <w:sz w:val="32"/>
          <w:szCs w:val="32"/>
        </w:rPr>
        <w:t>829</w:t>
      </w:r>
      <w:r>
        <w:rPr>
          <w:rFonts w:hint="eastAsia" w:eastAsia="方正仿宋_GBK" w:cs="方正仿宋_GBK"/>
          <w:sz w:val="32"/>
          <w:szCs w:val="32"/>
        </w:rPr>
        <w:t>项，不见面审批率达</w:t>
      </w:r>
      <w:r>
        <w:rPr>
          <w:rFonts w:eastAsia="方正仿宋_GBK"/>
          <w:sz w:val="32"/>
          <w:szCs w:val="32"/>
        </w:rPr>
        <w:t>95%</w:t>
      </w:r>
      <w:r>
        <w:rPr>
          <w:rFonts w:hint="eastAsia" w:eastAsia="方正仿宋_GBK" w:cs="方正仿宋_GBK"/>
          <w:sz w:val="32"/>
          <w:szCs w:val="32"/>
        </w:rPr>
        <w:t>。搭建中小企业融资桥梁，累计实现</w:t>
      </w:r>
      <w:r>
        <w:rPr>
          <w:rFonts w:eastAsia="方正仿宋_GBK"/>
          <w:sz w:val="32"/>
          <w:szCs w:val="32"/>
        </w:rPr>
        <w:t>141</w:t>
      </w:r>
      <w:r>
        <w:rPr>
          <w:rFonts w:hint="eastAsia" w:eastAsia="方正仿宋_GBK" w:cs="方正仿宋_GBK"/>
          <w:sz w:val="32"/>
          <w:szCs w:val="32"/>
        </w:rPr>
        <w:t>批次中小微企业</w:t>
      </w:r>
      <w:r>
        <w:rPr>
          <w:rFonts w:eastAsia="方正仿宋_GBK"/>
          <w:sz w:val="32"/>
          <w:szCs w:val="32"/>
        </w:rPr>
        <w:t>38.3</w:t>
      </w:r>
      <w:r>
        <w:rPr>
          <w:rFonts w:hint="eastAsia" w:eastAsia="方正仿宋_GBK" w:cs="方正仿宋_GBK"/>
          <w:sz w:val="32"/>
          <w:szCs w:val="32"/>
        </w:rPr>
        <w:t>亿元股权投资，各类企业主体获贷授信达</w:t>
      </w:r>
      <w:r>
        <w:rPr>
          <w:rFonts w:eastAsia="方正仿宋_GBK"/>
          <w:sz w:val="32"/>
          <w:szCs w:val="32"/>
        </w:rPr>
        <w:t>26</w:t>
      </w:r>
      <w:r>
        <w:rPr>
          <w:rFonts w:hint="eastAsia" w:eastAsia="方正仿宋_GBK" w:cs="方正仿宋_GBK"/>
          <w:sz w:val="32"/>
          <w:szCs w:val="32"/>
        </w:rPr>
        <w:t>亿元。加快形成法治化的营商环境，深化法企联络，整合律师、公证、调解等法律服务资源，实现组团服务，组建民营企业专项法律服务团，为企业提供精准全方位的“法治体检”。</w:t>
      </w:r>
    </w:p>
    <w:p w14:paraId="3B905067">
      <w:pPr>
        <w:spacing w:line="590" w:lineRule="exact"/>
        <w:ind w:firstLine="629"/>
        <w:rPr>
          <w:rFonts w:eastAsia="方正仿宋_GBK"/>
          <w:sz w:val="32"/>
          <w:szCs w:val="32"/>
        </w:rPr>
      </w:pPr>
      <w:r>
        <w:rPr>
          <w:rFonts w:hint="eastAsia" w:eastAsia="方正仿宋_GBK" w:cs="方正仿宋_GBK"/>
          <w:sz w:val="32"/>
          <w:szCs w:val="32"/>
        </w:rPr>
        <w:t>民生福祉改善取得进展。深入实施教育集团化办学紧密型管理，开展“一校多址”“联合办学”“一体化托管”“区管校用”等模式探索，组建</w:t>
      </w:r>
      <w:r>
        <w:rPr>
          <w:rFonts w:eastAsia="方正仿宋_GBK"/>
          <w:sz w:val="32"/>
          <w:szCs w:val="32"/>
        </w:rPr>
        <w:t>7</w:t>
      </w:r>
      <w:r>
        <w:rPr>
          <w:rFonts w:hint="eastAsia" w:eastAsia="方正仿宋_GBK" w:cs="方正仿宋_GBK"/>
          <w:sz w:val="32"/>
          <w:szCs w:val="32"/>
        </w:rPr>
        <w:t>个幼教联盟，成立</w:t>
      </w:r>
      <w:r>
        <w:rPr>
          <w:rFonts w:eastAsia="方正仿宋_GBK"/>
          <w:sz w:val="32"/>
          <w:szCs w:val="32"/>
        </w:rPr>
        <w:t>9</w:t>
      </w:r>
      <w:r>
        <w:rPr>
          <w:rFonts w:hint="eastAsia" w:eastAsia="方正仿宋_GBK" w:cs="方正仿宋_GBK"/>
          <w:sz w:val="32"/>
          <w:szCs w:val="32"/>
        </w:rPr>
        <w:t>个小学名校联盟，组建南航大附属郑外教育集团和秦外教育集团，南师附中秦淮科技高中、南师附中行知分校落地东部片区，南京外国语学校新校区在南部新城开工建设，新增市级骨干教师数量及比例位居全市前列。加快医疗资源“东进南扩”，深化“院府合作”，探索“中医飘香”特色卫生健康服务内涵，市中医院南部新城医疗中心建成使用，筹划建设东部医疗中心，每万人拥有全科医师数</w:t>
      </w:r>
      <w:r>
        <w:rPr>
          <w:rFonts w:eastAsia="方正仿宋_GBK"/>
          <w:sz w:val="32"/>
          <w:szCs w:val="32"/>
        </w:rPr>
        <w:t>4.57</w:t>
      </w:r>
      <w:r>
        <w:rPr>
          <w:rFonts w:hint="eastAsia" w:eastAsia="方正仿宋_GBK" w:cs="方正仿宋_GBK"/>
          <w:sz w:val="32"/>
          <w:szCs w:val="32"/>
        </w:rPr>
        <w:t>人，“</w:t>
      </w:r>
      <w:r>
        <w:rPr>
          <w:rFonts w:eastAsia="方正仿宋_GBK"/>
          <w:sz w:val="32"/>
          <w:szCs w:val="32"/>
        </w:rPr>
        <w:t>15</w:t>
      </w:r>
      <w:r>
        <w:rPr>
          <w:rFonts w:hint="eastAsia" w:eastAsia="方正仿宋_GBK" w:cs="方正仿宋_GBK"/>
          <w:sz w:val="32"/>
          <w:szCs w:val="32"/>
        </w:rPr>
        <w:t>分钟健康圈”初步形成。创成首批国家全域旅游示范区，秦淮灯会多城联动，“中国第一历史文化名河”品牌影响力持续放大，江苏网络文学谷成功落户，秦淮河畔小剧场群建设启动。建设“转角</w:t>
      </w:r>
      <w:r>
        <w:rPr>
          <w:rFonts w:eastAsia="方正仿宋_GBK"/>
          <w:sz w:val="32"/>
          <w:szCs w:val="32"/>
        </w:rPr>
        <w:t>•</w:t>
      </w:r>
      <w:r>
        <w:rPr>
          <w:rFonts w:hint="eastAsia" w:eastAsia="方正仿宋_GBK" w:cs="方正仿宋_GBK"/>
          <w:sz w:val="32"/>
          <w:szCs w:val="32"/>
        </w:rPr>
        <w:t>遇见”公共文化空间</w:t>
      </w:r>
      <w:r>
        <w:rPr>
          <w:rFonts w:eastAsia="方正仿宋_GBK"/>
          <w:sz w:val="32"/>
          <w:szCs w:val="32"/>
        </w:rPr>
        <w:t>100</w:t>
      </w:r>
      <w:r>
        <w:rPr>
          <w:rFonts w:hint="eastAsia" w:eastAsia="方正仿宋_GBK" w:cs="方正仿宋_GBK"/>
          <w:sz w:val="32"/>
          <w:szCs w:val="32"/>
        </w:rPr>
        <w:t>个，居民综合阅读率位居全省前列。新建社会足球场地</w:t>
      </w:r>
      <w:r>
        <w:rPr>
          <w:rFonts w:eastAsia="方正仿宋_GBK"/>
          <w:sz w:val="32"/>
          <w:szCs w:val="32"/>
        </w:rPr>
        <w:t>35</w:t>
      </w:r>
      <w:r>
        <w:rPr>
          <w:rFonts w:hint="eastAsia" w:eastAsia="方正仿宋_GBK" w:cs="方正仿宋_GBK"/>
          <w:sz w:val="32"/>
          <w:szCs w:val="32"/>
        </w:rPr>
        <w:t>个，健身步道</w:t>
      </w:r>
      <w:r>
        <w:rPr>
          <w:rFonts w:eastAsia="方正仿宋_GBK"/>
          <w:sz w:val="32"/>
          <w:szCs w:val="32"/>
        </w:rPr>
        <w:t>80</w:t>
      </w:r>
      <w:r>
        <w:rPr>
          <w:rFonts w:hint="eastAsia" w:eastAsia="方正仿宋_GBK" w:cs="方正仿宋_GBK"/>
          <w:sz w:val="32"/>
          <w:szCs w:val="32"/>
        </w:rPr>
        <w:t>公里，城市社区“</w:t>
      </w:r>
      <w:r>
        <w:rPr>
          <w:rFonts w:eastAsia="方正仿宋_GBK"/>
          <w:sz w:val="32"/>
          <w:szCs w:val="32"/>
        </w:rPr>
        <w:t>10</w:t>
      </w:r>
      <w:r>
        <w:rPr>
          <w:rFonts w:hint="eastAsia" w:eastAsia="方正仿宋_GBK" w:cs="方正仿宋_GBK"/>
          <w:sz w:val="32"/>
          <w:szCs w:val="32"/>
        </w:rPr>
        <w:t>分钟体育健身圈”全覆盖，“南京秦淮城墙马拉松及秦淮国际定向赛”等体育项目形成品牌效应。建成以街道养老综合服务中心为核心，社区居家养老服务中心为节点的“</w:t>
      </w:r>
      <w:r>
        <w:rPr>
          <w:rFonts w:eastAsia="方正仿宋_GBK"/>
          <w:sz w:val="32"/>
          <w:szCs w:val="32"/>
        </w:rPr>
        <w:t>1+N</w:t>
      </w:r>
      <w:r>
        <w:rPr>
          <w:rFonts w:hint="eastAsia" w:eastAsia="方正仿宋_GBK" w:cs="方正仿宋_GBK"/>
          <w:sz w:val="32"/>
          <w:szCs w:val="32"/>
        </w:rPr>
        <w:t>”养老服务网络，组建“为老服务医疗联盟”，</w:t>
      </w:r>
      <w:r>
        <w:rPr>
          <w:rFonts w:eastAsia="方正仿宋_GBK"/>
          <w:sz w:val="32"/>
          <w:szCs w:val="32"/>
        </w:rPr>
        <w:t>104</w:t>
      </w:r>
      <w:r>
        <w:rPr>
          <w:rFonts w:hint="eastAsia" w:eastAsia="方正仿宋_GBK" w:cs="方正仿宋_GBK"/>
          <w:sz w:val="32"/>
          <w:szCs w:val="32"/>
        </w:rPr>
        <w:t>个社区实现居家养老服务中心和“医养结合”服务全覆盖，护理型床位数占养老机构床位数比重超</w:t>
      </w:r>
      <w:r>
        <w:rPr>
          <w:rFonts w:eastAsia="方正仿宋_GBK"/>
          <w:sz w:val="32"/>
          <w:szCs w:val="32"/>
        </w:rPr>
        <w:t>80%</w:t>
      </w:r>
      <w:r>
        <w:rPr>
          <w:rFonts w:hint="eastAsia" w:eastAsia="方正仿宋_GBK" w:cs="方正仿宋_GBK"/>
          <w:sz w:val="32"/>
          <w:szCs w:val="32"/>
        </w:rPr>
        <w:t>。</w:t>
      </w:r>
    </w:p>
    <w:p w14:paraId="613D76A8">
      <w:pPr>
        <w:spacing w:line="590" w:lineRule="exact"/>
        <w:ind w:firstLine="629"/>
        <w:rPr>
          <w:rFonts w:eastAsia="方正仿宋_GBK"/>
          <w:sz w:val="32"/>
          <w:szCs w:val="32"/>
        </w:rPr>
      </w:pPr>
      <w:r>
        <w:rPr>
          <w:rFonts w:hint="eastAsia" w:eastAsia="方正仿宋_GBK" w:cs="方正仿宋_GBK"/>
          <w:sz w:val="32"/>
          <w:szCs w:val="32"/>
        </w:rPr>
        <w:t>富民惠民保障更加完善。把富民惠民、提高百姓收入作为民生发力重点，</w:t>
      </w:r>
      <w:r>
        <w:rPr>
          <w:rFonts w:eastAsia="方正仿宋_GBK"/>
          <w:sz w:val="32"/>
          <w:szCs w:val="32"/>
        </w:rPr>
        <w:t>2020</w:t>
      </w:r>
      <w:r>
        <w:rPr>
          <w:rFonts w:hint="eastAsia" w:eastAsia="方正仿宋_GBK" w:cs="方正仿宋_GBK"/>
          <w:sz w:val="32"/>
          <w:szCs w:val="32"/>
        </w:rPr>
        <w:t>年全体居民人均可支配收入达到</w:t>
      </w:r>
      <w:r>
        <w:rPr>
          <w:rFonts w:eastAsia="方正仿宋_GBK"/>
          <w:sz w:val="32"/>
          <w:szCs w:val="32"/>
        </w:rPr>
        <w:t>6.86</w:t>
      </w:r>
      <w:r>
        <w:rPr>
          <w:rFonts w:hint="eastAsia" w:eastAsia="方正仿宋_GBK" w:cs="方正仿宋_GBK"/>
          <w:sz w:val="32"/>
          <w:szCs w:val="32"/>
        </w:rPr>
        <w:t>万元。全区城镇登记失业率低于</w:t>
      </w:r>
      <w:r>
        <w:rPr>
          <w:rFonts w:eastAsia="方正仿宋_GBK"/>
          <w:sz w:val="32"/>
          <w:szCs w:val="32"/>
        </w:rPr>
        <w:t>3%</w:t>
      </w:r>
      <w:r>
        <w:rPr>
          <w:rFonts w:hint="eastAsia" w:eastAsia="方正仿宋_GBK" w:cs="方正仿宋_GBK"/>
          <w:sz w:val="32"/>
          <w:szCs w:val="32"/>
        </w:rPr>
        <w:t>，累计新增城镇就业</w:t>
      </w:r>
      <w:r>
        <w:rPr>
          <w:rFonts w:eastAsia="方正仿宋_GBK"/>
          <w:sz w:val="32"/>
          <w:szCs w:val="32"/>
        </w:rPr>
        <w:t>14</w:t>
      </w:r>
      <w:r>
        <w:rPr>
          <w:rFonts w:hint="eastAsia" w:eastAsia="方正仿宋_GBK" w:cs="方正仿宋_GBK"/>
          <w:sz w:val="32"/>
          <w:szCs w:val="32"/>
        </w:rPr>
        <w:t>万人，培育自主创业者</w:t>
      </w:r>
      <w:r>
        <w:rPr>
          <w:rFonts w:eastAsia="方正仿宋_GBK"/>
          <w:sz w:val="32"/>
          <w:szCs w:val="32"/>
        </w:rPr>
        <w:t>2.45</w:t>
      </w:r>
      <w:r>
        <w:rPr>
          <w:rFonts w:hint="eastAsia" w:eastAsia="方正仿宋_GBK" w:cs="方正仿宋_GBK"/>
          <w:sz w:val="32"/>
          <w:szCs w:val="32"/>
        </w:rPr>
        <w:t>万人，创业带动就业</w:t>
      </w:r>
      <w:r>
        <w:rPr>
          <w:rFonts w:eastAsia="方正仿宋_GBK"/>
          <w:sz w:val="32"/>
          <w:szCs w:val="32"/>
        </w:rPr>
        <w:t>13.8</w:t>
      </w:r>
      <w:r>
        <w:rPr>
          <w:rFonts w:hint="eastAsia" w:eastAsia="方正仿宋_GBK" w:cs="方正仿宋_GBK"/>
          <w:sz w:val="32"/>
          <w:szCs w:val="32"/>
        </w:rPr>
        <w:t>万人。注重困难人群托底保障，发放各类救助补贴</w:t>
      </w:r>
      <w:r>
        <w:rPr>
          <w:rFonts w:eastAsia="方正仿宋_GBK"/>
          <w:sz w:val="32"/>
          <w:szCs w:val="32"/>
        </w:rPr>
        <w:t>5.6</w:t>
      </w:r>
      <w:r>
        <w:rPr>
          <w:rFonts w:hint="eastAsia" w:eastAsia="方正仿宋_GBK" w:cs="方正仿宋_GBK"/>
          <w:sz w:val="32"/>
          <w:szCs w:val="32"/>
        </w:rPr>
        <w:t>亿元，惠及居民</w:t>
      </w:r>
      <w:r>
        <w:rPr>
          <w:rFonts w:eastAsia="方正仿宋_GBK"/>
          <w:sz w:val="32"/>
          <w:szCs w:val="32"/>
        </w:rPr>
        <w:t>64</w:t>
      </w:r>
      <w:r>
        <w:rPr>
          <w:rFonts w:hint="eastAsia" w:eastAsia="方正仿宋_GBK" w:cs="方正仿宋_GBK"/>
          <w:sz w:val="32"/>
          <w:szCs w:val="32"/>
        </w:rPr>
        <w:t>万人次，对低保家庭成员等</w:t>
      </w:r>
      <w:r>
        <w:rPr>
          <w:rFonts w:eastAsia="方正仿宋_GBK"/>
          <w:sz w:val="32"/>
          <w:szCs w:val="32"/>
        </w:rPr>
        <w:t>7300</w:t>
      </w:r>
      <w:r>
        <w:rPr>
          <w:rFonts w:hint="eastAsia" w:eastAsia="方正仿宋_GBK" w:cs="方正仿宋_GBK"/>
          <w:sz w:val="32"/>
          <w:szCs w:val="32"/>
        </w:rPr>
        <w:t>余名困难人员实行居民医保个人缴费部分全额补助，免费体检服务扩大到</w:t>
      </w:r>
      <w:r>
        <w:rPr>
          <w:rFonts w:eastAsia="方正仿宋_GBK"/>
          <w:sz w:val="32"/>
          <w:szCs w:val="32"/>
        </w:rPr>
        <w:t>60</w:t>
      </w:r>
      <w:r>
        <w:rPr>
          <w:rFonts w:hint="eastAsia" w:eastAsia="方正仿宋_GBK" w:cs="方正仿宋_GBK"/>
          <w:sz w:val="32"/>
          <w:szCs w:val="32"/>
        </w:rPr>
        <w:t>岁以上人群，打造</w:t>
      </w:r>
      <w:r>
        <w:rPr>
          <w:rFonts w:eastAsia="方正仿宋_GBK"/>
          <w:sz w:val="32"/>
          <w:szCs w:val="32"/>
        </w:rPr>
        <w:t>25</w:t>
      </w:r>
      <w:r>
        <w:rPr>
          <w:rFonts w:hint="eastAsia" w:eastAsia="方正仿宋_GBK" w:cs="方正仿宋_GBK"/>
          <w:sz w:val="32"/>
          <w:szCs w:val="32"/>
        </w:rPr>
        <w:t>个“残疾人之家”。大力改造棚户区，完成主城面积最大的范家塘文津桥片区危旧房改造，累计改造修缮棚户区</w:t>
      </w:r>
      <w:r>
        <w:rPr>
          <w:rFonts w:eastAsia="方正仿宋_GBK"/>
          <w:sz w:val="32"/>
          <w:szCs w:val="32"/>
        </w:rPr>
        <w:t>308</w:t>
      </w:r>
      <w:r>
        <w:rPr>
          <w:rFonts w:hint="eastAsia" w:eastAsia="方正仿宋_GBK" w:cs="方正仿宋_GBK"/>
          <w:sz w:val="32"/>
          <w:szCs w:val="32"/>
        </w:rPr>
        <w:t>万平方米，累计建成保障房</w:t>
      </w:r>
      <w:r>
        <w:rPr>
          <w:rFonts w:eastAsia="方正仿宋_GBK"/>
          <w:sz w:val="32"/>
          <w:szCs w:val="32"/>
        </w:rPr>
        <w:t>66</w:t>
      </w:r>
      <w:r>
        <w:rPr>
          <w:rFonts w:hint="eastAsia" w:eastAsia="方正仿宋_GBK" w:cs="方正仿宋_GBK"/>
          <w:sz w:val="32"/>
          <w:szCs w:val="32"/>
        </w:rPr>
        <w:t>万平方米，</w:t>
      </w:r>
      <w:r>
        <w:rPr>
          <w:rFonts w:eastAsia="方正仿宋_GBK"/>
          <w:sz w:val="32"/>
          <w:szCs w:val="32"/>
        </w:rPr>
        <w:t>8.6</w:t>
      </w:r>
      <w:r>
        <w:rPr>
          <w:rFonts w:hint="eastAsia" w:eastAsia="方正仿宋_GBK" w:cs="方正仿宋_GBK"/>
          <w:sz w:val="32"/>
          <w:szCs w:val="32"/>
        </w:rPr>
        <w:t>万户群众住房条件明显改善。</w:t>
      </w:r>
    </w:p>
    <w:p w14:paraId="3EFE96E6">
      <w:pPr>
        <w:spacing w:line="590" w:lineRule="exact"/>
        <w:ind w:firstLine="629"/>
        <w:rPr>
          <w:rFonts w:eastAsia="方正仿宋_GBK"/>
          <w:sz w:val="32"/>
          <w:szCs w:val="32"/>
        </w:rPr>
      </w:pPr>
      <w:r>
        <w:rPr>
          <w:rFonts w:hint="eastAsia" w:eastAsia="方正仿宋_GBK" w:cs="方正仿宋_GBK"/>
          <w:sz w:val="32"/>
          <w:szCs w:val="32"/>
        </w:rPr>
        <w:t>人居生态环境加速改善。加强全域水环境治理，</w:t>
      </w:r>
      <w:r>
        <w:rPr>
          <w:rFonts w:eastAsia="方正仿宋_GBK"/>
          <w:sz w:val="32"/>
          <w:szCs w:val="32"/>
        </w:rPr>
        <w:t>2017</w:t>
      </w:r>
      <w:r>
        <w:rPr>
          <w:rFonts w:hint="eastAsia" w:eastAsia="方正仿宋_GBK" w:cs="方正仿宋_GBK"/>
          <w:sz w:val="32"/>
          <w:szCs w:val="32"/>
        </w:rPr>
        <w:t>年全面消除黑臭，</w:t>
      </w:r>
      <w:r>
        <w:rPr>
          <w:rFonts w:eastAsia="方正仿宋_GBK"/>
          <w:sz w:val="32"/>
          <w:szCs w:val="32"/>
        </w:rPr>
        <w:t>2018</w:t>
      </w:r>
      <w:r>
        <w:rPr>
          <w:rFonts w:hint="eastAsia" w:eastAsia="方正仿宋_GBK" w:cs="方正仿宋_GBK"/>
          <w:sz w:val="32"/>
          <w:szCs w:val="32"/>
        </w:rPr>
        <w:t>年完成雨污分流，</w:t>
      </w:r>
      <w:r>
        <w:rPr>
          <w:rFonts w:eastAsia="方正仿宋_GBK"/>
          <w:sz w:val="32"/>
          <w:szCs w:val="32"/>
        </w:rPr>
        <w:t>2019</w:t>
      </w:r>
      <w:r>
        <w:rPr>
          <w:rFonts w:hint="eastAsia" w:eastAsia="方正仿宋_GBK" w:cs="方正仿宋_GBK"/>
          <w:sz w:val="32"/>
          <w:szCs w:val="32"/>
        </w:rPr>
        <w:t>年水质稳定达标，系统打造秦淮“水系流域花园”，首次实现沿河步道</w:t>
      </w:r>
      <w:r>
        <w:rPr>
          <w:rFonts w:eastAsia="方正仿宋_GBK"/>
          <w:sz w:val="32"/>
          <w:szCs w:val="32"/>
        </w:rPr>
        <w:t>80</w:t>
      </w:r>
      <w:r>
        <w:rPr>
          <w:rFonts w:hint="eastAsia" w:eastAsia="方正仿宋_GBK" w:cs="方正仿宋_GBK"/>
          <w:sz w:val="32"/>
          <w:szCs w:val="32"/>
        </w:rPr>
        <w:t>公里全线贯通。清水塘、内秦淮河东段成为南京市水环境治理亮点工程，月牙湖被评为全省首批生态样板河湖、全国“河长制”培训现场教育基地。抓好大气质量管控，落实“点位长”制度，率先建成全区污染防治智能化指挥中心。加强工地扬尘污染治理，推进“智慧工地”项目建设，建筑工地裸土覆盖率达</w:t>
      </w:r>
      <w:r>
        <w:rPr>
          <w:rFonts w:eastAsia="方正仿宋_GBK"/>
          <w:sz w:val="32"/>
          <w:szCs w:val="32"/>
        </w:rPr>
        <w:t>100%</w:t>
      </w:r>
      <w:r>
        <w:rPr>
          <w:rFonts w:hint="eastAsia" w:eastAsia="方正仿宋_GBK" w:cs="方正仿宋_GBK"/>
          <w:sz w:val="32"/>
          <w:szCs w:val="32"/>
        </w:rPr>
        <w:t>。增加城市绿化彩化，完成石城桥南广场、汉中门广场等</w:t>
      </w:r>
      <w:r>
        <w:rPr>
          <w:rFonts w:eastAsia="方正仿宋_GBK"/>
          <w:sz w:val="32"/>
          <w:szCs w:val="32"/>
        </w:rPr>
        <w:t>15</w:t>
      </w:r>
      <w:r>
        <w:rPr>
          <w:rFonts w:hint="eastAsia" w:eastAsia="方正仿宋_GBK" w:cs="方正仿宋_GBK"/>
          <w:sz w:val="32"/>
          <w:szCs w:val="32"/>
        </w:rPr>
        <w:t>个区域绿化提升，建成解放路北侧口袋公园，街面实现“春夏有花、四季常绿”。以太平南路、科巷、银龙片区为代表的城市街巷面貌焕然一新。实施“美丽家园”三年行动计划，打造最干净城区，主次干道机械化清扫率达</w:t>
      </w:r>
      <w:r>
        <w:rPr>
          <w:rFonts w:eastAsia="方正仿宋_GBK"/>
          <w:sz w:val="32"/>
          <w:szCs w:val="32"/>
        </w:rPr>
        <w:t>96%</w:t>
      </w:r>
      <w:r>
        <w:rPr>
          <w:rFonts w:hint="eastAsia" w:eastAsia="方正仿宋_GBK" w:cs="方正仿宋_GBK"/>
          <w:sz w:val="32"/>
          <w:szCs w:val="32"/>
        </w:rPr>
        <w:t>。整治背街小巷</w:t>
      </w:r>
      <w:r>
        <w:rPr>
          <w:rFonts w:eastAsia="方正仿宋_GBK"/>
          <w:sz w:val="32"/>
          <w:szCs w:val="32"/>
        </w:rPr>
        <w:t>280</w:t>
      </w:r>
      <w:r>
        <w:rPr>
          <w:rFonts w:hint="eastAsia" w:eastAsia="方正仿宋_GBK" w:cs="方正仿宋_GBK"/>
          <w:sz w:val="32"/>
          <w:szCs w:val="32"/>
        </w:rPr>
        <w:t>条，拆除违建</w:t>
      </w:r>
      <w:r>
        <w:rPr>
          <w:rFonts w:eastAsia="方正仿宋_GBK"/>
          <w:sz w:val="32"/>
          <w:szCs w:val="32"/>
        </w:rPr>
        <w:t>338</w:t>
      </w:r>
      <w:r>
        <w:rPr>
          <w:rFonts w:hint="eastAsia" w:eastAsia="方正仿宋_GBK" w:cs="方正仿宋_GBK"/>
          <w:sz w:val="32"/>
          <w:szCs w:val="32"/>
        </w:rPr>
        <w:t>万平方米，新改建公厕</w:t>
      </w:r>
      <w:r>
        <w:rPr>
          <w:rFonts w:eastAsia="方正仿宋_GBK"/>
          <w:sz w:val="32"/>
          <w:szCs w:val="32"/>
        </w:rPr>
        <w:t>153</w:t>
      </w:r>
      <w:r>
        <w:rPr>
          <w:rFonts w:hint="eastAsia" w:eastAsia="方正仿宋_GBK" w:cs="方正仿宋_GBK"/>
          <w:sz w:val="32"/>
          <w:szCs w:val="32"/>
        </w:rPr>
        <w:t>座。建成市中医院、金城路等停车场，新增停车泊位超</w:t>
      </w:r>
      <w:r>
        <w:rPr>
          <w:rFonts w:eastAsia="方正仿宋_GBK"/>
          <w:sz w:val="32"/>
          <w:szCs w:val="32"/>
        </w:rPr>
        <w:t>3</w:t>
      </w:r>
      <w:r>
        <w:rPr>
          <w:rFonts w:hint="eastAsia" w:eastAsia="方正仿宋_GBK" w:cs="方正仿宋_GBK"/>
          <w:sz w:val="32"/>
          <w:szCs w:val="32"/>
        </w:rPr>
        <w:t>万个。区级餐厨、大件等垃圾处理中心建成投运，升级改造双桥门等垃圾中转站</w:t>
      </w:r>
      <w:r>
        <w:rPr>
          <w:rFonts w:eastAsia="方正仿宋_GBK"/>
          <w:sz w:val="32"/>
          <w:szCs w:val="32"/>
        </w:rPr>
        <w:t>7</w:t>
      </w:r>
      <w:r>
        <w:rPr>
          <w:rFonts w:hint="eastAsia" w:eastAsia="方正仿宋_GBK" w:cs="方正仿宋_GBK"/>
          <w:sz w:val="32"/>
          <w:szCs w:val="32"/>
        </w:rPr>
        <w:t>座，基本实现居民小区垃圾分类设施全覆盖。</w:t>
      </w:r>
    </w:p>
    <w:p w14:paraId="22BA4010">
      <w:pPr>
        <w:spacing w:line="590" w:lineRule="exact"/>
        <w:ind w:firstLine="629"/>
        <w:rPr>
          <w:rFonts w:eastAsia="方正仿宋_GBK"/>
          <w:sz w:val="32"/>
          <w:szCs w:val="32"/>
        </w:rPr>
      </w:pPr>
      <w:r>
        <w:rPr>
          <w:rFonts w:hint="eastAsia" w:eastAsia="方正仿宋_GBK" w:cs="方正仿宋_GBK"/>
          <w:sz w:val="32"/>
          <w:szCs w:val="32"/>
        </w:rPr>
        <w:t>基层社会治理取得突破。创新“两赋两强”、“双做双增”街道、社区集成改革，加强基层党建，聚焦民生，推行社区“第一书记”责任制，以赋权、赋能、强基层、强队伍为着力点，以做强社区、做实网格，增加服务资源、增强治理能力为目标，实现街道、社区集成改革一体化推进，为推进特大城市中心城区城市基层治理体系和治理能力现代化探索更多“秦淮经验”。深化街道“大工委”、社区“大党委”运行机制，搭建“家园理事会”，推动编制资源下沉，创新人员编制管理和选人用人机制，建立健全体制机制，解决群众“急难愁盼”问题。建立街道“五部一局两中心”组织架构，打造扁平化管理体系，设立综合行政执法局，实现街道“一支队伍管执法”。推进基层网格化治理，建立区社会治理综合指挥中心，整合全区</w:t>
      </w:r>
      <w:r>
        <w:rPr>
          <w:rFonts w:eastAsia="方正仿宋_GBK"/>
          <w:sz w:val="32"/>
          <w:szCs w:val="32"/>
        </w:rPr>
        <w:t>16</w:t>
      </w:r>
      <w:r>
        <w:rPr>
          <w:rFonts w:hint="eastAsia" w:eastAsia="方正仿宋_GBK" w:cs="方正仿宋_GBK"/>
          <w:sz w:val="32"/>
          <w:szCs w:val="32"/>
        </w:rPr>
        <w:t>个部门的</w:t>
      </w:r>
      <w:r>
        <w:rPr>
          <w:rFonts w:eastAsia="方正仿宋_GBK"/>
          <w:sz w:val="32"/>
          <w:szCs w:val="32"/>
        </w:rPr>
        <w:t>30</w:t>
      </w:r>
      <w:r>
        <w:rPr>
          <w:rFonts w:hint="eastAsia" w:eastAsia="方正仿宋_GBK" w:cs="方正仿宋_GBK"/>
          <w:sz w:val="32"/>
          <w:szCs w:val="32"/>
        </w:rPr>
        <w:t>个信息平台功能，建立完善“吹哨报到”制度，促进“网格</w:t>
      </w:r>
      <w:r>
        <w:rPr>
          <w:rFonts w:eastAsia="方正仿宋_GBK"/>
          <w:sz w:val="32"/>
          <w:szCs w:val="32"/>
        </w:rPr>
        <w:t>+</w:t>
      </w:r>
      <w:r>
        <w:rPr>
          <w:rFonts w:hint="eastAsia" w:eastAsia="方正仿宋_GBK" w:cs="方正仿宋_GBK"/>
          <w:sz w:val="32"/>
          <w:szCs w:val="32"/>
        </w:rPr>
        <w:t>警格”联动融合。推动街道物业服务中心实体化运作，落实老旧小区物业管理，打造“红色物业”，推动“第一书记项目”落地。</w:t>
      </w:r>
    </w:p>
    <w:p w14:paraId="7E116E51">
      <w:pPr>
        <w:spacing w:line="540" w:lineRule="exact"/>
        <w:jc w:val="center"/>
        <w:rPr>
          <w:rFonts w:eastAsia="方正楷体简体"/>
          <w:sz w:val="32"/>
          <w:szCs w:val="32"/>
        </w:rPr>
      </w:pPr>
    </w:p>
    <w:p w14:paraId="08FF01E5">
      <w:pPr>
        <w:spacing w:line="590" w:lineRule="exact"/>
        <w:ind w:firstLine="629"/>
        <w:rPr>
          <w:rFonts w:eastAsia="方正楷体简体"/>
          <w:sz w:val="32"/>
          <w:szCs w:val="32"/>
        </w:rPr>
      </w:pPr>
    </w:p>
    <w:p w14:paraId="0146A8AB">
      <w:pPr>
        <w:pStyle w:val="2"/>
        <w:rPr>
          <w:rFonts w:eastAsia="方正楷体简体"/>
          <w:sz w:val="32"/>
          <w:szCs w:val="32"/>
        </w:rPr>
      </w:pPr>
    </w:p>
    <w:p w14:paraId="69352FFC">
      <w:pPr>
        <w:pStyle w:val="2"/>
        <w:rPr>
          <w:rFonts w:eastAsia="方正楷体简体"/>
          <w:sz w:val="32"/>
          <w:szCs w:val="32"/>
        </w:rPr>
      </w:pPr>
    </w:p>
    <w:p w14:paraId="1C41DA51">
      <w:pPr>
        <w:pStyle w:val="2"/>
        <w:rPr>
          <w:rFonts w:eastAsia="方正楷体简体"/>
          <w:sz w:val="32"/>
          <w:szCs w:val="32"/>
        </w:rPr>
      </w:pPr>
    </w:p>
    <w:p w14:paraId="578D0372">
      <w:pPr>
        <w:pStyle w:val="2"/>
        <w:rPr>
          <w:rFonts w:eastAsia="方正楷体简体"/>
          <w:sz w:val="32"/>
          <w:szCs w:val="32"/>
        </w:rPr>
      </w:pPr>
    </w:p>
    <w:p w14:paraId="18AE4DD9">
      <w:pPr>
        <w:pStyle w:val="2"/>
        <w:rPr>
          <w:rFonts w:eastAsia="方正楷体简体"/>
          <w:sz w:val="32"/>
          <w:szCs w:val="32"/>
        </w:rPr>
      </w:pPr>
    </w:p>
    <w:p w14:paraId="558257F0">
      <w:pPr>
        <w:pStyle w:val="2"/>
        <w:rPr>
          <w:rFonts w:eastAsia="方正楷体简体"/>
          <w:sz w:val="32"/>
          <w:szCs w:val="32"/>
        </w:rPr>
      </w:pPr>
    </w:p>
    <w:p w14:paraId="42BFCC47">
      <w:pPr>
        <w:spacing w:line="540" w:lineRule="exact"/>
        <w:jc w:val="center"/>
        <w:rPr>
          <w:rFonts w:eastAsia="华文楷体"/>
          <w:sz w:val="32"/>
          <w:szCs w:val="32"/>
        </w:rPr>
      </w:pPr>
      <w:r>
        <w:rPr>
          <w:rFonts w:hint="eastAsia" w:ascii="方正黑体_GBK" w:hAnsi="方正黑体_GBK" w:eastAsia="方正黑体_GBK" w:cs="方正黑体_GBK"/>
          <w:sz w:val="32"/>
          <w:szCs w:val="32"/>
        </w:rPr>
        <w:t>“十三五”经济社会发展主要指标完成情况表</w:t>
      </w:r>
      <w:r>
        <w:rPr>
          <w:rStyle w:val="16"/>
          <w:rFonts w:eastAsia="华文楷体"/>
          <w:sz w:val="32"/>
          <w:szCs w:val="32"/>
        </w:rPr>
        <w:footnoteReference w:id="0"/>
      </w:r>
    </w:p>
    <w:tbl>
      <w:tblPr>
        <w:tblStyle w:val="12"/>
        <w:tblW w:w="458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674"/>
        <w:gridCol w:w="3959"/>
        <w:gridCol w:w="1464"/>
        <w:gridCol w:w="1400"/>
      </w:tblGrid>
      <w:tr w14:paraId="6D57F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7" w:type="pct"/>
            <w:vAlign w:val="center"/>
          </w:tcPr>
          <w:p w14:paraId="7880EE84">
            <w:pPr>
              <w:jc w:val="center"/>
              <w:rPr>
                <w:b/>
                <w:bCs/>
              </w:rPr>
            </w:pPr>
            <w:r>
              <w:rPr>
                <w:rFonts w:hint="eastAsia" w:cs="宋体"/>
                <w:b/>
                <w:bCs/>
              </w:rPr>
              <w:t>分类</w:t>
            </w:r>
          </w:p>
        </w:tc>
        <w:tc>
          <w:tcPr>
            <w:tcW w:w="411" w:type="pct"/>
            <w:vAlign w:val="center"/>
          </w:tcPr>
          <w:p w14:paraId="5B4FDB15">
            <w:pPr>
              <w:jc w:val="center"/>
              <w:rPr>
                <w:b/>
                <w:bCs/>
              </w:rPr>
            </w:pPr>
            <w:r>
              <w:rPr>
                <w:rFonts w:hint="eastAsia" w:cs="宋体"/>
                <w:b/>
                <w:bCs/>
              </w:rPr>
              <w:t>序号</w:t>
            </w:r>
          </w:p>
        </w:tc>
        <w:tc>
          <w:tcPr>
            <w:tcW w:w="2415" w:type="pct"/>
            <w:vAlign w:val="center"/>
          </w:tcPr>
          <w:p w14:paraId="4CD8BB2B">
            <w:pPr>
              <w:jc w:val="center"/>
              <w:rPr>
                <w:b/>
                <w:bCs/>
              </w:rPr>
            </w:pPr>
            <w:r>
              <w:rPr>
                <w:rFonts w:hint="eastAsia" w:cs="宋体"/>
                <w:b/>
                <w:bCs/>
              </w:rPr>
              <w:t>指标</w:t>
            </w:r>
          </w:p>
        </w:tc>
        <w:tc>
          <w:tcPr>
            <w:tcW w:w="893" w:type="pct"/>
            <w:vAlign w:val="center"/>
          </w:tcPr>
          <w:p w14:paraId="0F7C1491">
            <w:pPr>
              <w:jc w:val="center"/>
              <w:rPr>
                <w:b/>
                <w:bCs/>
              </w:rPr>
            </w:pPr>
            <w:r>
              <w:rPr>
                <w:rFonts w:hint="eastAsia" w:cs="宋体"/>
                <w:b/>
                <w:bCs/>
              </w:rPr>
              <w:t>目标值</w:t>
            </w:r>
          </w:p>
        </w:tc>
        <w:tc>
          <w:tcPr>
            <w:tcW w:w="854" w:type="pct"/>
            <w:vAlign w:val="center"/>
          </w:tcPr>
          <w:p w14:paraId="3723E2CA">
            <w:pPr>
              <w:jc w:val="center"/>
              <w:rPr>
                <w:b/>
                <w:bCs/>
              </w:rPr>
            </w:pPr>
            <w:r>
              <w:rPr>
                <w:b/>
                <w:bCs/>
              </w:rPr>
              <w:t>2020</w:t>
            </w:r>
            <w:r>
              <w:rPr>
                <w:rFonts w:hint="eastAsia" w:cs="宋体"/>
                <w:b/>
                <w:bCs/>
              </w:rPr>
              <w:t>年</w:t>
            </w:r>
          </w:p>
        </w:tc>
      </w:tr>
      <w:tr w14:paraId="63046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7" w:type="pct"/>
            <w:vMerge w:val="restart"/>
            <w:vAlign w:val="center"/>
          </w:tcPr>
          <w:p w14:paraId="5036989C">
            <w:r>
              <w:rPr>
                <w:rFonts w:hint="eastAsia" w:cs="宋体"/>
              </w:rPr>
              <w:t>经</w:t>
            </w:r>
          </w:p>
          <w:p w14:paraId="3888527D">
            <w:r>
              <w:rPr>
                <w:rFonts w:hint="eastAsia" w:cs="宋体"/>
              </w:rPr>
              <w:t>济</w:t>
            </w:r>
          </w:p>
          <w:p w14:paraId="61DC1150">
            <w:r>
              <w:rPr>
                <w:rFonts w:hint="eastAsia" w:cs="宋体"/>
              </w:rPr>
              <w:t>强</w:t>
            </w:r>
          </w:p>
        </w:tc>
        <w:tc>
          <w:tcPr>
            <w:tcW w:w="411" w:type="pct"/>
            <w:vAlign w:val="center"/>
          </w:tcPr>
          <w:p w14:paraId="121F500F">
            <w:r>
              <w:t>1</w:t>
            </w:r>
          </w:p>
        </w:tc>
        <w:tc>
          <w:tcPr>
            <w:tcW w:w="2415" w:type="pct"/>
            <w:vAlign w:val="center"/>
          </w:tcPr>
          <w:p w14:paraId="2681E5F6">
            <w:r>
              <w:rPr>
                <w:rFonts w:hint="eastAsia" w:cs="宋体"/>
              </w:rPr>
              <w:t>地区生产总值（亿元）</w:t>
            </w:r>
          </w:p>
        </w:tc>
        <w:tc>
          <w:tcPr>
            <w:tcW w:w="893" w:type="pct"/>
            <w:vAlign w:val="center"/>
          </w:tcPr>
          <w:p w14:paraId="0FB728E2">
            <w:r>
              <w:t>1000</w:t>
            </w:r>
          </w:p>
        </w:tc>
        <w:tc>
          <w:tcPr>
            <w:tcW w:w="854" w:type="pct"/>
            <w:vAlign w:val="center"/>
          </w:tcPr>
          <w:p w14:paraId="64F036C5">
            <w:r>
              <w:t>1286</w:t>
            </w:r>
          </w:p>
        </w:tc>
      </w:tr>
      <w:tr w14:paraId="49625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7" w:type="pct"/>
            <w:vMerge w:val="continue"/>
            <w:vAlign w:val="center"/>
          </w:tcPr>
          <w:p w14:paraId="21A60DBD"/>
        </w:tc>
        <w:tc>
          <w:tcPr>
            <w:tcW w:w="411" w:type="pct"/>
            <w:vAlign w:val="center"/>
          </w:tcPr>
          <w:p w14:paraId="05ED93F8">
            <w:r>
              <w:t>2</w:t>
            </w:r>
          </w:p>
        </w:tc>
        <w:tc>
          <w:tcPr>
            <w:tcW w:w="2415" w:type="pct"/>
            <w:vAlign w:val="center"/>
          </w:tcPr>
          <w:p w14:paraId="5EA9503D">
            <w:r>
              <w:rPr>
                <w:rFonts w:hint="eastAsia" w:cs="宋体"/>
              </w:rPr>
              <w:t>一般公共预算收入（亿元）</w:t>
            </w:r>
          </w:p>
        </w:tc>
        <w:tc>
          <w:tcPr>
            <w:tcW w:w="893" w:type="pct"/>
            <w:vAlign w:val="center"/>
          </w:tcPr>
          <w:p w14:paraId="784D087D">
            <w:r>
              <w:t>100</w:t>
            </w:r>
          </w:p>
        </w:tc>
        <w:tc>
          <w:tcPr>
            <w:tcW w:w="854" w:type="pct"/>
            <w:vAlign w:val="center"/>
          </w:tcPr>
          <w:p w14:paraId="62E02453">
            <w:r>
              <w:t>100.1</w:t>
            </w:r>
          </w:p>
        </w:tc>
      </w:tr>
      <w:tr w14:paraId="0F52C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7" w:type="pct"/>
            <w:vMerge w:val="continue"/>
            <w:vAlign w:val="center"/>
          </w:tcPr>
          <w:p w14:paraId="691B7D7A"/>
        </w:tc>
        <w:tc>
          <w:tcPr>
            <w:tcW w:w="411" w:type="pct"/>
            <w:vAlign w:val="center"/>
          </w:tcPr>
          <w:p w14:paraId="3B8CAF6A">
            <w:r>
              <w:t>3</w:t>
            </w:r>
          </w:p>
        </w:tc>
        <w:tc>
          <w:tcPr>
            <w:tcW w:w="2415" w:type="pct"/>
            <w:vAlign w:val="center"/>
          </w:tcPr>
          <w:p w14:paraId="6C9A6F2B">
            <w:r>
              <w:rPr>
                <w:rFonts w:hint="eastAsia" w:cs="宋体"/>
              </w:rPr>
              <w:t>社会消费品零售总额（亿元）</w:t>
            </w:r>
          </w:p>
        </w:tc>
        <w:tc>
          <w:tcPr>
            <w:tcW w:w="893" w:type="pct"/>
            <w:vAlign w:val="center"/>
          </w:tcPr>
          <w:p w14:paraId="7F4CC32F">
            <w:r>
              <w:t>1300</w:t>
            </w:r>
          </w:p>
        </w:tc>
        <w:tc>
          <w:tcPr>
            <w:tcW w:w="854" w:type="pct"/>
            <w:vAlign w:val="center"/>
          </w:tcPr>
          <w:p w14:paraId="3E8D8646">
            <w:r>
              <w:t>1157</w:t>
            </w:r>
          </w:p>
        </w:tc>
      </w:tr>
      <w:tr w14:paraId="4E4DD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7" w:type="pct"/>
            <w:vMerge w:val="continue"/>
            <w:vAlign w:val="center"/>
          </w:tcPr>
          <w:p w14:paraId="0564AD20"/>
        </w:tc>
        <w:tc>
          <w:tcPr>
            <w:tcW w:w="411" w:type="pct"/>
            <w:vAlign w:val="center"/>
          </w:tcPr>
          <w:p w14:paraId="3CAB0AF0">
            <w:r>
              <w:t>4</w:t>
            </w:r>
          </w:p>
        </w:tc>
        <w:tc>
          <w:tcPr>
            <w:tcW w:w="2415" w:type="pct"/>
            <w:vAlign w:val="center"/>
          </w:tcPr>
          <w:p w14:paraId="46AEF27D">
            <w:r>
              <w:rPr>
                <w:rFonts w:hint="eastAsia" w:cs="宋体"/>
              </w:rPr>
              <w:t>累计全社会固定资产投资（亿元）</w:t>
            </w:r>
          </w:p>
        </w:tc>
        <w:tc>
          <w:tcPr>
            <w:tcW w:w="893" w:type="pct"/>
            <w:vAlign w:val="center"/>
          </w:tcPr>
          <w:p w14:paraId="4A7D761F">
            <w:r>
              <w:t>1500</w:t>
            </w:r>
          </w:p>
        </w:tc>
        <w:tc>
          <w:tcPr>
            <w:tcW w:w="854" w:type="pct"/>
            <w:vAlign w:val="center"/>
          </w:tcPr>
          <w:p w14:paraId="49B6F6D6">
            <w:r>
              <w:t>1200</w:t>
            </w:r>
          </w:p>
        </w:tc>
      </w:tr>
      <w:tr w14:paraId="2EDC0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7" w:type="pct"/>
            <w:vMerge w:val="continue"/>
            <w:vAlign w:val="center"/>
          </w:tcPr>
          <w:p w14:paraId="0B91F693"/>
        </w:tc>
        <w:tc>
          <w:tcPr>
            <w:tcW w:w="411" w:type="pct"/>
            <w:vAlign w:val="center"/>
          </w:tcPr>
          <w:p w14:paraId="75DA82C0">
            <w:r>
              <w:t>5</w:t>
            </w:r>
          </w:p>
        </w:tc>
        <w:tc>
          <w:tcPr>
            <w:tcW w:w="2415" w:type="pct"/>
            <w:vAlign w:val="center"/>
          </w:tcPr>
          <w:p w14:paraId="44F47B9F">
            <w:r>
              <w:rPr>
                <w:rFonts w:hint="eastAsia" w:cs="宋体"/>
              </w:rPr>
              <w:t>服务业增加值占</w:t>
            </w:r>
            <w:r>
              <w:t>GDP</w:t>
            </w:r>
            <w:r>
              <w:rPr>
                <w:rFonts w:hint="eastAsia" w:cs="宋体"/>
              </w:rPr>
              <w:t>比重（</w:t>
            </w:r>
            <w:r>
              <w:t>%</w:t>
            </w:r>
            <w:r>
              <w:rPr>
                <w:rFonts w:hint="eastAsia" w:cs="宋体"/>
              </w:rPr>
              <w:t>）</w:t>
            </w:r>
          </w:p>
        </w:tc>
        <w:tc>
          <w:tcPr>
            <w:tcW w:w="893" w:type="pct"/>
            <w:vAlign w:val="center"/>
          </w:tcPr>
          <w:p w14:paraId="140FE03E">
            <w:r>
              <w:t>&gt;92</w:t>
            </w:r>
          </w:p>
        </w:tc>
        <w:tc>
          <w:tcPr>
            <w:tcW w:w="854" w:type="pct"/>
            <w:vAlign w:val="center"/>
          </w:tcPr>
          <w:p w14:paraId="22F3D9B7">
            <w:r>
              <w:t>&gt;92</w:t>
            </w:r>
          </w:p>
        </w:tc>
      </w:tr>
      <w:tr w14:paraId="4C23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blHeader/>
          <w:jc w:val="center"/>
        </w:trPr>
        <w:tc>
          <w:tcPr>
            <w:tcW w:w="427" w:type="pct"/>
            <w:vMerge w:val="continue"/>
            <w:vAlign w:val="center"/>
          </w:tcPr>
          <w:p w14:paraId="40102005"/>
        </w:tc>
        <w:tc>
          <w:tcPr>
            <w:tcW w:w="411" w:type="pct"/>
            <w:vAlign w:val="center"/>
          </w:tcPr>
          <w:p w14:paraId="51F98738">
            <w:r>
              <w:t>6</w:t>
            </w:r>
          </w:p>
        </w:tc>
        <w:tc>
          <w:tcPr>
            <w:tcW w:w="2415" w:type="pct"/>
            <w:vAlign w:val="center"/>
          </w:tcPr>
          <w:p w14:paraId="197EA618">
            <w:r>
              <w:rPr>
                <w:rFonts w:hint="eastAsia" w:cs="宋体"/>
              </w:rPr>
              <w:t>文化产业增加值占</w:t>
            </w:r>
            <w:r>
              <w:t>GDP</w:t>
            </w:r>
            <w:r>
              <w:rPr>
                <w:rFonts w:hint="eastAsia" w:cs="宋体"/>
              </w:rPr>
              <w:t>比重（</w:t>
            </w:r>
            <w:r>
              <w:t>%</w:t>
            </w:r>
            <w:r>
              <w:rPr>
                <w:rFonts w:hint="eastAsia" w:cs="宋体"/>
              </w:rPr>
              <w:t>）</w:t>
            </w:r>
          </w:p>
        </w:tc>
        <w:tc>
          <w:tcPr>
            <w:tcW w:w="893" w:type="pct"/>
            <w:vAlign w:val="center"/>
          </w:tcPr>
          <w:p w14:paraId="1CFF9C0C">
            <w:r>
              <w:t>8</w:t>
            </w:r>
          </w:p>
        </w:tc>
        <w:tc>
          <w:tcPr>
            <w:tcW w:w="854" w:type="pct"/>
            <w:vAlign w:val="center"/>
          </w:tcPr>
          <w:p w14:paraId="01FF28D8">
            <w:r>
              <w:t>8</w:t>
            </w:r>
          </w:p>
        </w:tc>
      </w:tr>
      <w:tr w14:paraId="4942B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7" w:type="pct"/>
            <w:vMerge w:val="continue"/>
            <w:vAlign w:val="center"/>
          </w:tcPr>
          <w:p w14:paraId="7BA1F084"/>
        </w:tc>
        <w:tc>
          <w:tcPr>
            <w:tcW w:w="411" w:type="pct"/>
            <w:vAlign w:val="center"/>
          </w:tcPr>
          <w:p w14:paraId="55F06E3F">
            <w:r>
              <w:t>7</w:t>
            </w:r>
          </w:p>
        </w:tc>
        <w:tc>
          <w:tcPr>
            <w:tcW w:w="2415" w:type="pct"/>
            <w:vAlign w:val="center"/>
          </w:tcPr>
          <w:p w14:paraId="67FBC6DA">
            <w:r>
              <w:rPr>
                <w:rFonts w:hint="eastAsia" w:cs="宋体"/>
              </w:rPr>
              <w:t>累计实际利用外资（亿美元）</w:t>
            </w:r>
          </w:p>
        </w:tc>
        <w:tc>
          <w:tcPr>
            <w:tcW w:w="893" w:type="pct"/>
            <w:vAlign w:val="center"/>
          </w:tcPr>
          <w:p w14:paraId="55362BCA">
            <w:r>
              <w:t>10</w:t>
            </w:r>
          </w:p>
        </w:tc>
        <w:tc>
          <w:tcPr>
            <w:tcW w:w="854" w:type="pct"/>
            <w:vAlign w:val="center"/>
          </w:tcPr>
          <w:p w14:paraId="1096011B">
            <w:r>
              <w:t>10.6</w:t>
            </w:r>
          </w:p>
        </w:tc>
      </w:tr>
      <w:tr w14:paraId="32E5E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7" w:type="pct"/>
            <w:vMerge w:val="continue"/>
            <w:vAlign w:val="center"/>
          </w:tcPr>
          <w:p w14:paraId="502B234B"/>
        </w:tc>
        <w:tc>
          <w:tcPr>
            <w:tcW w:w="411" w:type="pct"/>
            <w:vAlign w:val="center"/>
          </w:tcPr>
          <w:p w14:paraId="505F8533">
            <w:r>
              <w:t>8</w:t>
            </w:r>
          </w:p>
        </w:tc>
        <w:tc>
          <w:tcPr>
            <w:tcW w:w="2415" w:type="pct"/>
            <w:vAlign w:val="center"/>
          </w:tcPr>
          <w:p w14:paraId="661C3A5F">
            <w:r>
              <w:rPr>
                <w:rFonts w:hint="eastAsia" w:cs="宋体"/>
              </w:rPr>
              <w:t>全社会研发经费支出占</w:t>
            </w:r>
            <w:r>
              <w:t>GDP</w:t>
            </w:r>
            <w:r>
              <w:rPr>
                <w:rFonts w:hint="eastAsia" w:cs="宋体"/>
              </w:rPr>
              <w:t>比重（</w:t>
            </w:r>
            <w:r>
              <w:t>%</w:t>
            </w:r>
            <w:r>
              <w:rPr>
                <w:rFonts w:hint="eastAsia" w:cs="宋体"/>
              </w:rPr>
              <w:t>）</w:t>
            </w:r>
          </w:p>
        </w:tc>
        <w:tc>
          <w:tcPr>
            <w:tcW w:w="893" w:type="pct"/>
            <w:vAlign w:val="center"/>
          </w:tcPr>
          <w:p w14:paraId="5ECDB6C8">
            <w:r>
              <w:rPr>
                <w:rFonts w:hint="eastAsia" w:cs="宋体"/>
              </w:rPr>
              <w:t>力争</w:t>
            </w:r>
            <w:r>
              <w:t>3</w:t>
            </w:r>
          </w:p>
        </w:tc>
        <w:tc>
          <w:tcPr>
            <w:tcW w:w="854" w:type="pct"/>
            <w:vAlign w:val="center"/>
          </w:tcPr>
          <w:p w14:paraId="6BF4DB11">
            <w:r>
              <w:t>——</w:t>
            </w:r>
          </w:p>
        </w:tc>
      </w:tr>
      <w:tr w14:paraId="09FD8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7" w:type="pct"/>
            <w:vMerge w:val="continue"/>
            <w:vAlign w:val="center"/>
          </w:tcPr>
          <w:p w14:paraId="6E0E12DB"/>
        </w:tc>
        <w:tc>
          <w:tcPr>
            <w:tcW w:w="411" w:type="pct"/>
            <w:vAlign w:val="center"/>
          </w:tcPr>
          <w:p w14:paraId="1B5562A4">
            <w:r>
              <w:t>9</w:t>
            </w:r>
          </w:p>
        </w:tc>
        <w:tc>
          <w:tcPr>
            <w:tcW w:w="2415" w:type="pct"/>
            <w:vAlign w:val="center"/>
          </w:tcPr>
          <w:p w14:paraId="334F8208">
            <w:r>
              <w:rPr>
                <w:rFonts w:hint="eastAsia" w:cs="宋体"/>
              </w:rPr>
              <w:t>新增上市企业（家）</w:t>
            </w:r>
          </w:p>
        </w:tc>
        <w:tc>
          <w:tcPr>
            <w:tcW w:w="893" w:type="pct"/>
            <w:vAlign w:val="center"/>
          </w:tcPr>
          <w:p w14:paraId="7C73B249">
            <w:r>
              <w:t>10</w:t>
            </w:r>
          </w:p>
        </w:tc>
        <w:tc>
          <w:tcPr>
            <w:tcW w:w="854" w:type="pct"/>
            <w:vAlign w:val="center"/>
          </w:tcPr>
          <w:p w14:paraId="0D1554D1">
            <w:r>
              <w:t>16</w:t>
            </w:r>
          </w:p>
        </w:tc>
      </w:tr>
      <w:tr w14:paraId="6268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7" w:type="pct"/>
            <w:vMerge w:val="continue"/>
            <w:vAlign w:val="center"/>
          </w:tcPr>
          <w:p w14:paraId="4B5C049E"/>
        </w:tc>
        <w:tc>
          <w:tcPr>
            <w:tcW w:w="411" w:type="pct"/>
            <w:vAlign w:val="center"/>
          </w:tcPr>
          <w:p w14:paraId="7DA334F7">
            <w:r>
              <w:t>10</w:t>
            </w:r>
          </w:p>
        </w:tc>
        <w:tc>
          <w:tcPr>
            <w:tcW w:w="2415" w:type="pct"/>
            <w:vAlign w:val="center"/>
          </w:tcPr>
          <w:p w14:paraId="5AAFA38B">
            <w:r>
              <w:rPr>
                <w:rFonts w:hint="eastAsia" w:cs="宋体"/>
              </w:rPr>
              <w:t>每万人发明专利拥有量（件）</w:t>
            </w:r>
          </w:p>
        </w:tc>
        <w:tc>
          <w:tcPr>
            <w:tcW w:w="893" w:type="pct"/>
            <w:vAlign w:val="center"/>
          </w:tcPr>
          <w:p w14:paraId="180A188C">
            <w:r>
              <w:t>23</w:t>
            </w:r>
          </w:p>
        </w:tc>
        <w:tc>
          <w:tcPr>
            <w:tcW w:w="854" w:type="pct"/>
            <w:vAlign w:val="center"/>
          </w:tcPr>
          <w:p w14:paraId="1DFC3FE9">
            <w:r>
              <w:t>70</w:t>
            </w:r>
          </w:p>
        </w:tc>
      </w:tr>
      <w:tr w14:paraId="7DFA0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7" w:type="pct"/>
            <w:vMerge w:val="continue"/>
            <w:vAlign w:val="center"/>
          </w:tcPr>
          <w:p w14:paraId="0BB4AFC5"/>
        </w:tc>
        <w:tc>
          <w:tcPr>
            <w:tcW w:w="411" w:type="pct"/>
            <w:vAlign w:val="center"/>
          </w:tcPr>
          <w:p w14:paraId="41080071">
            <w:r>
              <w:t>11</w:t>
            </w:r>
          </w:p>
        </w:tc>
        <w:tc>
          <w:tcPr>
            <w:tcW w:w="2415" w:type="pct"/>
            <w:vAlign w:val="center"/>
          </w:tcPr>
          <w:p w14:paraId="56508127">
            <w:r>
              <w:rPr>
                <w:rFonts w:hint="eastAsia" w:cs="宋体"/>
              </w:rPr>
              <w:t>新城建设五年累计投资（亿）</w:t>
            </w:r>
          </w:p>
        </w:tc>
        <w:tc>
          <w:tcPr>
            <w:tcW w:w="893" w:type="pct"/>
            <w:vAlign w:val="center"/>
          </w:tcPr>
          <w:p w14:paraId="2424E8BC">
            <w:r>
              <w:t>700</w:t>
            </w:r>
          </w:p>
        </w:tc>
        <w:tc>
          <w:tcPr>
            <w:tcW w:w="854" w:type="pct"/>
            <w:vAlign w:val="center"/>
          </w:tcPr>
          <w:p w14:paraId="6D20F479">
            <w:r>
              <w:t>780</w:t>
            </w:r>
          </w:p>
        </w:tc>
      </w:tr>
      <w:tr w14:paraId="07DA7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7" w:type="pct"/>
            <w:vMerge w:val="continue"/>
            <w:vAlign w:val="center"/>
          </w:tcPr>
          <w:p w14:paraId="7C670CB8"/>
        </w:tc>
        <w:tc>
          <w:tcPr>
            <w:tcW w:w="411" w:type="pct"/>
            <w:vAlign w:val="center"/>
          </w:tcPr>
          <w:p w14:paraId="3A347798">
            <w:r>
              <w:t>12</w:t>
            </w:r>
          </w:p>
        </w:tc>
        <w:tc>
          <w:tcPr>
            <w:tcW w:w="2415" w:type="pct"/>
            <w:vAlign w:val="center"/>
          </w:tcPr>
          <w:p w14:paraId="7D6B7C95">
            <w:r>
              <w:rPr>
                <w:rFonts w:hint="eastAsia" w:cs="宋体"/>
              </w:rPr>
              <w:t>新增税收亿元楼宇</w:t>
            </w:r>
            <w:r>
              <w:t>/</w:t>
            </w:r>
            <w:r>
              <w:rPr>
                <w:rFonts w:hint="eastAsia" w:cs="宋体"/>
              </w:rPr>
              <w:t>园区（个）</w:t>
            </w:r>
          </w:p>
        </w:tc>
        <w:tc>
          <w:tcPr>
            <w:tcW w:w="893" w:type="pct"/>
            <w:vAlign w:val="center"/>
          </w:tcPr>
          <w:p w14:paraId="7129E531">
            <w:r>
              <w:t>6/2</w:t>
            </w:r>
          </w:p>
        </w:tc>
        <w:tc>
          <w:tcPr>
            <w:tcW w:w="854" w:type="pct"/>
            <w:vAlign w:val="center"/>
          </w:tcPr>
          <w:p w14:paraId="406EB119">
            <w:r>
              <w:t>9/2</w:t>
            </w:r>
          </w:p>
        </w:tc>
      </w:tr>
      <w:tr w14:paraId="0B74F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blHeader/>
          <w:jc w:val="center"/>
        </w:trPr>
        <w:tc>
          <w:tcPr>
            <w:tcW w:w="427" w:type="pct"/>
            <w:vMerge w:val="restart"/>
            <w:vAlign w:val="center"/>
          </w:tcPr>
          <w:p w14:paraId="752C593A">
            <w:r>
              <w:rPr>
                <w:rFonts w:hint="eastAsia" w:cs="宋体"/>
              </w:rPr>
              <w:t>百</w:t>
            </w:r>
          </w:p>
          <w:p w14:paraId="553B4C64">
            <w:r>
              <w:rPr>
                <w:rFonts w:hint="eastAsia" w:cs="宋体"/>
              </w:rPr>
              <w:t>姓</w:t>
            </w:r>
          </w:p>
          <w:p w14:paraId="4F9ADFBF">
            <w:r>
              <w:rPr>
                <w:rFonts w:hint="eastAsia" w:cs="宋体"/>
              </w:rPr>
              <w:t>富</w:t>
            </w:r>
          </w:p>
        </w:tc>
        <w:tc>
          <w:tcPr>
            <w:tcW w:w="411" w:type="pct"/>
            <w:vAlign w:val="center"/>
          </w:tcPr>
          <w:p w14:paraId="44727863">
            <w:r>
              <w:t>13</w:t>
            </w:r>
          </w:p>
        </w:tc>
        <w:tc>
          <w:tcPr>
            <w:tcW w:w="2415" w:type="pct"/>
            <w:vAlign w:val="center"/>
          </w:tcPr>
          <w:p w14:paraId="3466C41E">
            <w:r>
              <w:rPr>
                <w:rFonts w:hint="eastAsia" w:cs="宋体"/>
              </w:rPr>
              <w:t>居民人均可支配收入（元）</w:t>
            </w:r>
          </w:p>
        </w:tc>
        <w:tc>
          <w:tcPr>
            <w:tcW w:w="893" w:type="pct"/>
            <w:vAlign w:val="center"/>
          </w:tcPr>
          <w:p w14:paraId="28B4025E">
            <w:r>
              <w:rPr>
                <w:rFonts w:hint="eastAsia" w:cs="宋体"/>
              </w:rPr>
              <w:t>和</w:t>
            </w:r>
            <w:r>
              <w:t>GDP</w:t>
            </w:r>
            <w:r>
              <w:rPr>
                <w:rFonts w:hint="eastAsia" w:cs="宋体"/>
              </w:rPr>
              <w:t>同步</w:t>
            </w:r>
          </w:p>
        </w:tc>
        <w:tc>
          <w:tcPr>
            <w:tcW w:w="854" w:type="pct"/>
            <w:vAlign w:val="center"/>
          </w:tcPr>
          <w:p w14:paraId="4F7E32F5">
            <w:r>
              <w:t>68563</w:t>
            </w:r>
          </w:p>
        </w:tc>
      </w:tr>
      <w:tr w14:paraId="7CC67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7" w:type="pct"/>
            <w:vMerge w:val="continue"/>
            <w:vAlign w:val="center"/>
          </w:tcPr>
          <w:p w14:paraId="2A666DEB"/>
        </w:tc>
        <w:tc>
          <w:tcPr>
            <w:tcW w:w="411" w:type="pct"/>
            <w:vAlign w:val="center"/>
          </w:tcPr>
          <w:p w14:paraId="4FE94A26">
            <w:r>
              <w:t>14</w:t>
            </w:r>
          </w:p>
        </w:tc>
        <w:tc>
          <w:tcPr>
            <w:tcW w:w="2415" w:type="pct"/>
            <w:vAlign w:val="center"/>
          </w:tcPr>
          <w:p w14:paraId="23F26865">
            <w:r>
              <w:rPr>
                <w:rFonts w:hint="eastAsia" w:cs="宋体"/>
              </w:rPr>
              <w:t>区域内常住人口（万）</w:t>
            </w:r>
          </w:p>
        </w:tc>
        <w:tc>
          <w:tcPr>
            <w:tcW w:w="893" w:type="pct"/>
            <w:vAlign w:val="center"/>
          </w:tcPr>
          <w:p w14:paraId="5DAD0515">
            <w:r>
              <w:t>100</w:t>
            </w:r>
          </w:p>
        </w:tc>
        <w:tc>
          <w:tcPr>
            <w:tcW w:w="854" w:type="pct"/>
            <w:vAlign w:val="center"/>
          </w:tcPr>
          <w:p w14:paraId="21621AED">
            <w:r>
              <w:t>95</w:t>
            </w:r>
          </w:p>
        </w:tc>
      </w:tr>
      <w:tr w14:paraId="36162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7" w:type="pct"/>
            <w:vMerge w:val="continue"/>
            <w:vAlign w:val="center"/>
          </w:tcPr>
          <w:p w14:paraId="2B435300"/>
        </w:tc>
        <w:tc>
          <w:tcPr>
            <w:tcW w:w="411" w:type="pct"/>
            <w:vAlign w:val="center"/>
          </w:tcPr>
          <w:p w14:paraId="60B4780C">
            <w:r>
              <w:t>15</w:t>
            </w:r>
          </w:p>
        </w:tc>
        <w:tc>
          <w:tcPr>
            <w:tcW w:w="2415" w:type="pct"/>
            <w:vAlign w:val="center"/>
          </w:tcPr>
          <w:p w14:paraId="29918EE4">
            <w:r>
              <w:rPr>
                <w:rFonts w:hint="eastAsia" w:cs="宋体"/>
              </w:rPr>
              <w:t>城镇登记失业率控制（</w:t>
            </w:r>
            <w:r>
              <w:t>%</w:t>
            </w:r>
            <w:r>
              <w:rPr>
                <w:rFonts w:hint="eastAsia" w:cs="宋体"/>
              </w:rPr>
              <w:t>）</w:t>
            </w:r>
          </w:p>
        </w:tc>
        <w:tc>
          <w:tcPr>
            <w:tcW w:w="893" w:type="pct"/>
            <w:vAlign w:val="center"/>
          </w:tcPr>
          <w:p w14:paraId="3CC548FE">
            <w:r>
              <w:t>&lt;4</w:t>
            </w:r>
          </w:p>
        </w:tc>
        <w:tc>
          <w:tcPr>
            <w:tcW w:w="854" w:type="pct"/>
            <w:vAlign w:val="center"/>
          </w:tcPr>
          <w:p w14:paraId="25018A3D">
            <w:r>
              <w:t>&lt;3</w:t>
            </w:r>
          </w:p>
        </w:tc>
      </w:tr>
      <w:tr w14:paraId="60BC8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7" w:type="pct"/>
            <w:vMerge w:val="continue"/>
            <w:vAlign w:val="center"/>
          </w:tcPr>
          <w:p w14:paraId="192EC656"/>
        </w:tc>
        <w:tc>
          <w:tcPr>
            <w:tcW w:w="411" w:type="pct"/>
            <w:vAlign w:val="center"/>
          </w:tcPr>
          <w:p w14:paraId="177BF9F6">
            <w:r>
              <w:t>16</w:t>
            </w:r>
          </w:p>
        </w:tc>
        <w:tc>
          <w:tcPr>
            <w:tcW w:w="2415" w:type="pct"/>
            <w:vAlign w:val="center"/>
          </w:tcPr>
          <w:p w14:paraId="11503BB0">
            <w:r>
              <w:rPr>
                <w:rFonts w:hint="eastAsia" w:cs="宋体"/>
              </w:rPr>
              <w:t>累计新增城镇就业人数（人）</w:t>
            </w:r>
          </w:p>
        </w:tc>
        <w:tc>
          <w:tcPr>
            <w:tcW w:w="893" w:type="pct"/>
            <w:vAlign w:val="center"/>
          </w:tcPr>
          <w:p w14:paraId="617BE0BB">
            <w:r>
              <w:t>11</w:t>
            </w:r>
            <w:r>
              <w:rPr>
                <w:rFonts w:hint="eastAsia" w:cs="宋体"/>
              </w:rPr>
              <w:t>万</w:t>
            </w:r>
          </w:p>
        </w:tc>
        <w:tc>
          <w:tcPr>
            <w:tcW w:w="854" w:type="pct"/>
            <w:vAlign w:val="center"/>
          </w:tcPr>
          <w:p w14:paraId="0C1DF1CC">
            <w:r>
              <w:t>14</w:t>
            </w:r>
            <w:r>
              <w:rPr>
                <w:rFonts w:hint="eastAsia" w:cs="宋体"/>
              </w:rPr>
              <w:t>万</w:t>
            </w:r>
          </w:p>
        </w:tc>
      </w:tr>
      <w:tr w14:paraId="24B99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7" w:type="pct"/>
            <w:vMerge w:val="continue"/>
            <w:vAlign w:val="center"/>
          </w:tcPr>
          <w:p w14:paraId="154F27E9"/>
        </w:tc>
        <w:tc>
          <w:tcPr>
            <w:tcW w:w="411" w:type="pct"/>
            <w:vAlign w:val="center"/>
          </w:tcPr>
          <w:p w14:paraId="6E137665">
            <w:r>
              <w:t>17</w:t>
            </w:r>
          </w:p>
        </w:tc>
        <w:tc>
          <w:tcPr>
            <w:tcW w:w="2415" w:type="pct"/>
            <w:vAlign w:val="center"/>
          </w:tcPr>
          <w:p w14:paraId="6D3A38BA">
            <w:r>
              <w:rPr>
                <w:rFonts w:hint="eastAsia" w:cs="宋体"/>
              </w:rPr>
              <w:t>城镇基本养老、医疗等保险覆盖率（</w:t>
            </w:r>
            <w:r>
              <w:t>%</w:t>
            </w:r>
            <w:r>
              <w:rPr>
                <w:rFonts w:hint="eastAsia" w:cs="宋体"/>
              </w:rPr>
              <w:t>）</w:t>
            </w:r>
          </w:p>
        </w:tc>
        <w:tc>
          <w:tcPr>
            <w:tcW w:w="893" w:type="pct"/>
            <w:vAlign w:val="center"/>
          </w:tcPr>
          <w:p w14:paraId="1B86535E">
            <w:r>
              <w:t>&gt;98</w:t>
            </w:r>
          </w:p>
        </w:tc>
        <w:tc>
          <w:tcPr>
            <w:tcW w:w="854" w:type="pct"/>
            <w:vAlign w:val="center"/>
          </w:tcPr>
          <w:p w14:paraId="643BA770">
            <w:r>
              <w:t>&gt;98</w:t>
            </w:r>
          </w:p>
        </w:tc>
      </w:tr>
      <w:tr w14:paraId="1FA75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7" w:type="pct"/>
            <w:vMerge w:val="continue"/>
            <w:vAlign w:val="center"/>
          </w:tcPr>
          <w:p w14:paraId="18602DFF"/>
        </w:tc>
        <w:tc>
          <w:tcPr>
            <w:tcW w:w="411" w:type="pct"/>
            <w:vAlign w:val="center"/>
          </w:tcPr>
          <w:p w14:paraId="4AFC05A1">
            <w:r>
              <w:t>18</w:t>
            </w:r>
          </w:p>
        </w:tc>
        <w:tc>
          <w:tcPr>
            <w:tcW w:w="2415" w:type="pct"/>
            <w:vAlign w:val="center"/>
          </w:tcPr>
          <w:p w14:paraId="6A6F8F70">
            <w:r>
              <w:rPr>
                <w:rFonts w:hint="eastAsia" w:cs="宋体"/>
              </w:rPr>
              <w:t>现代教育发展水平（</w:t>
            </w:r>
            <w:r>
              <w:t>%</w:t>
            </w:r>
            <w:r>
              <w:rPr>
                <w:rFonts w:hint="eastAsia" w:cs="宋体"/>
              </w:rPr>
              <w:t>）</w:t>
            </w:r>
          </w:p>
        </w:tc>
        <w:tc>
          <w:tcPr>
            <w:tcW w:w="893" w:type="pct"/>
            <w:vAlign w:val="center"/>
          </w:tcPr>
          <w:p w14:paraId="6038FFFB">
            <w:r>
              <w:t>&gt;90</w:t>
            </w:r>
          </w:p>
        </w:tc>
        <w:tc>
          <w:tcPr>
            <w:tcW w:w="854" w:type="pct"/>
            <w:vAlign w:val="center"/>
          </w:tcPr>
          <w:p w14:paraId="53A12AB5">
            <w:r>
              <w:t>92.2</w:t>
            </w:r>
          </w:p>
        </w:tc>
      </w:tr>
      <w:tr w14:paraId="720D9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7" w:type="pct"/>
            <w:vMerge w:val="continue"/>
            <w:vAlign w:val="center"/>
          </w:tcPr>
          <w:p w14:paraId="2E4E1A1D"/>
        </w:tc>
        <w:tc>
          <w:tcPr>
            <w:tcW w:w="411" w:type="pct"/>
            <w:vAlign w:val="center"/>
          </w:tcPr>
          <w:p w14:paraId="694F2D6C">
            <w:r>
              <w:t>19</w:t>
            </w:r>
          </w:p>
        </w:tc>
        <w:tc>
          <w:tcPr>
            <w:tcW w:w="2415" w:type="pct"/>
            <w:vAlign w:val="center"/>
          </w:tcPr>
          <w:p w14:paraId="635D4C48">
            <w:r>
              <w:rPr>
                <w:rFonts w:hint="eastAsia" w:cs="宋体"/>
              </w:rPr>
              <w:t>每千名老人拥有养老床位数（张）</w:t>
            </w:r>
          </w:p>
        </w:tc>
        <w:tc>
          <w:tcPr>
            <w:tcW w:w="893" w:type="pct"/>
            <w:vAlign w:val="center"/>
          </w:tcPr>
          <w:p w14:paraId="235DC0C8">
            <w:r>
              <w:t>50</w:t>
            </w:r>
          </w:p>
        </w:tc>
        <w:tc>
          <w:tcPr>
            <w:tcW w:w="854" w:type="pct"/>
            <w:vAlign w:val="center"/>
          </w:tcPr>
          <w:p w14:paraId="2A0DC9B8">
            <w:r>
              <w:t>45</w:t>
            </w:r>
          </w:p>
        </w:tc>
      </w:tr>
      <w:tr w14:paraId="5A5F2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7" w:type="pct"/>
            <w:vMerge w:val="continue"/>
            <w:vAlign w:val="center"/>
          </w:tcPr>
          <w:p w14:paraId="37C403D0"/>
        </w:tc>
        <w:tc>
          <w:tcPr>
            <w:tcW w:w="411" w:type="pct"/>
            <w:vAlign w:val="center"/>
          </w:tcPr>
          <w:p w14:paraId="012E7768">
            <w:r>
              <w:t>20</w:t>
            </w:r>
          </w:p>
        </w:tc>
        <w:tc>
          <w:tcPr>
            <w:tcW w:w="2415" w:type="pct"/>
            <w:vAlign w:val="center"/>
          </w:tcPr>
          <w:p w14:paraId="5BABC54F">
            <w:r>
              <w:rPr>
                <w:rFonts w:hint="eastAsia" w:cs="宋体"/>
              </w:rPr>
              <w:t>社区标准化居家养老服务中心建成率</w:t>
            </w:r>
          </w:p>
        </w:tc>
        <w:tc>
          <w:tcPr>
            <w:tcW w:w="893" w:type="pct"/>
            <w:vAlign w:val="center"/>
          </w:tcPr>
          <w:p w14:paraId="062ACC7D">
            <w:r>
              <w:t>100</w:t>
            </w:r>
          </w:p>
        </w:tc>
        <w:tc>
          <w:tcPr>
            <w:tcW w:w="854" w:type="pct"/>
            <w:vAlign w:val="center"/>
          </w:tcPr>
          <w:p w14:paraId="33981EA8">
            <w:r>
              <w:t>100</w:t>
            </w:r>
          </w:p>
        </w:tc>
      </w:tr>
      <w:tr w14:paraId="65668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7" w:type="pct"/>
            <w:vMerge w:val="continue"/>
            <w:vAlign w:val="center"/>
          </w:tcPr>
          <w:p w14:paraId="1C2FD9AC"/>
        </w:tc>
        <w:tc>
          <w:tcPr>
            <w:tcW w:w="411" w:type="pct"/>
            <w:vAlign w:val="center"/>
          </w:tcPr>
          <w:p w14:paraId="52B9362C">
            <w:r>
              <w:t>21</w:t>
            </w:r>
          </w:p>
        </w:tc>
        <w:tc>
          <w:tcPr>
            <w:tcW w:w="2415" w:type="pct"/>
            <w:vAlign w:val="center"/>
          </w:tcPr>
          <w:p w14:paraId="37D27F47">
            <w:r>
              <w:rPr>
                <w:rFonts w:hint="eastAsia" w:cs="宋体"/>
              </w:rPr>
              <w:t>人均体育活动场地面积（平方米）</w:t>
            </w:r>
          </w:p>
        </w:tc>
        <w:tc>
          <w:tcPr>
            <w:tcW w:w="893" w:type="pct"/>
            <w:vAlign w:val="center"/>
          </w:tcPr>
          <w:p w14:paraId="63532334">
            <w:r>
              <w:t>&gt;2</w:t>
            </w:r>
          </w:p>
        </w:tc>
        <w:tc>
          <w:tcPr>
            <w:tcW w:w="854" w:type="pct"/>
            <w:vAlign w:val="center"/>
          </w:tcPr>
          <w:p w14:paraId="2F9586FA">
            <w:r>
              <w:t>——</w:t>
            </w:r>
          </w:p>
        </w:tc>
      </w:tr>
      <w:tr w14:paraId="1F8F6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7" w:type="pct"/>
            <w:vMerge w:val="restart"/>
            <w:vAlign w:val="center"/>
          </w:tcPr>
          <w:p w14:paraId="4E9BCC20">
            <w:r>
              <w:rPr>
                <w:rFonts w:hint="eastAsia" w:cs="宋体"/>
              </w:rPr>
              <w:t>环</w:t>
            </w:r>
          </w:p>
          <w:p w14:paraId="13D66F1D">
            <w:r>
              <w:rPr>
                <w:rFonts w:hint="eastAsia" w:cs="宋体"/>
              </w:rPr>
              <w:t>境</w:t>
            </w:r>
          </w:p>
          <w:p w14:paraId="5E672925">
            <w:r>
              <w:rPr>
                <w:rFonts w:hint="eastAsia" w:cs="宋体"/>
              </w:rPr>
              <w:t>美</w:t>
            </w:r>
          </w:p>
        </w:tc>
        <w:tc>
          <w:tcPr>
            <w:tcW w:w="411" w:type="pct"/>
            <w:vAlign w:val="center"/>
          </w:tcPr>
          <w:p w14:paraId="3CDF26BB">
            <w:r>
              <w:t>22</w:t>
            </w:r>
          </w:p>
        </w:tc>
        <w:tc>
          <w:tcPr>
            <w:tcW w:w="2415" w:type="pct"/>
            <w:vAlign w:val="center"/>
          </w:tcPr>
          <w:p w14:paraId="2C68E920">
            <w:r>
              <w:rPr>
                <w:rFonts w:hint="eastAsia" w:cs="宋体"/>
              </w:rPr>
              <w:t>绿化覆盖率（</w:t>
            </w:r>
            <w:r>
              <w:t>%</w:t>
            </w:r>
            <w:r>
              <w:rPr>
                <w:rFonts w:hint="eastAsia" w:cs="宋体"/>
              </w:rPr>
              <w:t>）</w:t>
            </w:r>
          </w:p>
        </w:tc>
        <w:tc>
          <w:tcPr>
            <w:tcW w:w="893" w:type="pct"/>
            <w:vAlign w:val="center"/>
          </w:tcPr>
          <w:p w14:paraId="13D3F81B">
            <w:r>
              <w:t>48</w:t>
            </w:r>
          </w:p>
        </w:tc>
        <w:tc>
          <w:tcPr>
            <w:tcW w:w="854" w:type="pct"/>
            <w:vAlign w:val="center"/>
          </w:tcPr>
          <w:p w14:paraId="79E23257">
            <w:r>
              <w:t>——</w:t>
            </w:r>
          </w:p>
        </w:tc>
      </w:tr>
      <w:tr w14:paraId="201DF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7" w:type="pct"/>
            <w:vMerge w:val="continue"/>
            <w:vAlign w:val="center"/>
          </w:tcPr>
          <w:p w14:paraId="45910722"/>
        </w:tc>
        <w:tc>
          <w:tcPr>
            <w:tcW w:w="411" w:type="pct"/>
            <w:vAlign w:val="center"/>
          </w:tcPr>
          <w:p w14:paraId="2F71E4F1">
            <w:r>
              <w:t>23</w:t>
            </w:r>
          </w:p>
        </w:tc>
        <w:tc>
          <w:tcPr>
            <w:tcW w:w="2415" w:type="pct"/>
            <w:vAlign w:val="center"/>
          </w:tcPr>
          <w:p w14:paraId="790DFD37">
            <w:r>
              <w:rPr>
                <w:rFonts w:hint="eastAsia" w:cs="宋体"/>
              </w:rPr>
              <w:t>大气污染防治目标（</w:t>
            </w:r>
            <w:r>
              <w:t>%</w:t>
            </w:r>
            <w:r>
              <w:rPr>
                <w:rFonts w:hint="eastAsia" w:cs="宋体"/>
              </w:rPr>
              <w:t>）</w:t>
            </w:r>
          </w:p>
        </w:tc>
        <w:tc>
          <w:tcPr>
            <w:tcW w:w="893" w:type="pct"/>
            <w:vAlign w:val="center"/>
          </w:tcPr>
          <w:p w14:paraId="6D9BEFB6">
            <w:r>
              <w:t>100</w:t>
            </w:r>
          </w:p>
        </w:tc>
        <w:tc>
          <w:tcPr>
            <w:tcW w:w="854" w:type="pct"/>
            <w:vAlign w:val="center"/>
          </w:tcPr>
          <w:p w14:paraId="5EECA150">
            <w:r>
              <w:t>100</w:t>
            </w:r>
          </w:p>
        </w:tc>
      </w:tr>
      <w:tr w14:paraId="3819F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7" w:type="pct"/>
            <w:vMerge w:val="continue"/>
            <w:vAlign w:val="center"/>
          </w:tcPr>
          <w:p w14:paraId="1481DE59"/>
        </w:tc>
        <w:tc>
          <w:tcPr>
            <w:tcW w:w="411" w:type="pct"/>
            <w:vAlign w:val="center"/>
          </w:tcPr>
          <w:p w14:paraId="7CF557D6">
            <w:r>
              <w:t>24</w:t>
            </w:r>
          </w:p>
        </w:tc>
        <w:tc>
          <w:tcPr>
            <w:tcW w:w="2415" w:type="pct"/>
            <w:vAlign w:val="center"/>
          </w:tcPr>
          <w:p w14:paraId="2C59F37F">
            <w:r>
              <w:rPr>
                <w:rFonts w:hint="eastAsia" w:cs="宋体"/>
              </w:rPr>
              <w:t>主要水体水质功能达标率（</w:t>
            </w:r>
            <w:r>
              <w:t>%</w:t>
            </w:r>
            <w:r>
              <w:rPr>
                <w:rFonts w:hint="eastAsia" w:cs="宋体"/>
              </w:rPr>
              <w:t>）</w:t>
            </w:r>
          </w:p>
        </w:tc>
        <w:tc>
          <w:tcPr>
            <w:tcW w:w="893" w:type="pct"/>
            <w:vAlign w:val="center"/>
          </w:tcPr>
          <w:p w14:paraId="0895C559">
            <w:r>
              <w:t>&gt;70</w:t>
            </w:r>
          </w:p>
        </w:tc>
        <w:tc>
          <w:tcPr>
            <w:tcW w:w="854" w:type="pct"/>
            <w:vAlign w:val="center"/>
          </w:tcPr>
          <w:p w14:paraId="534A3811">
            <w:r>
              <w:t>100</w:t>
            </w:r>
          </w:p>
        </w:tc>
      </w:tr>
      <w:tr w14:paraId="06678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7" w:type="pct"/>
            <w:vMerge w:val="continue"/>
            <w:vAlign w:val="center"/>
          </w:tcPr>
          <w:p w14:paraId="40AF5B9F"/>
        </w:tc>
        <w:tc>
          <w:tcPr>
            <w:tcW w:w="411" w:type="pct"/>
            <w:vAlign w:val="center"/>
          </w:tcPr>
          <w:p w14:paraId="3EDEC52B">
            <w:r>
              <w:t>25</w:t>
            </w:r>
          </w:p>
        </w:tc>
        <w:tc>
          <w:tcPr>
            <w:tcW w:w="2415" w:type="pct"/>
            <w:vAlign w:val="center"/>
          </w:tcPr>
          <w:p w14:paraId="3BC891D2">
            <w:r>
              <w:rPr>
                <w:rFonts w:hint="eastAsia" w:cs="宋体"/>
              </w:rPr>
              <w:t>非工企业碳排放控制目标完成率（</w:t>
            </w:r>
            <w:r>
              <w:t>%</w:t>
            </w:r>
            <w:r>
              <w:rPr>
                <w:rFonts w:hint="eastAsia" w:cs="宋体"/>
              </w:rPr>
              <w:t>）</w:t>
            </w:r>
          </w:p>
        </w:tc>
        <w:tc>
          <w:tcPr>
            <w:tcW w:w="893" w:type="pct"/>
            <w:vAlign w:val="center"/>
          </w:tcPr>
          <w:p w14:paraId="29E6E2FB">
            <w:r>
              <w:t>100</w:t>
            </w:r>
          </w:p>
        </w:tc>
        <w:tc>
          <w:tcPr>
            <w:tcW w:w="854" w:type="pct"/>
            <w:vAlign w:val="center"/>
          </w:tcPr>
          <w:p w14:paraId="4B0F8B73">
            <w:r>
              <w:t>——</w:t>
            </w:r>
          </w:p>
        </w:tc>
      </w:tr>
      <w:tr w14:paraId="731F8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7" w:type="pct"/>
            <w:vMerge w:val="continue"/>
            <w:vAlign w:val="center"/>
          </w:tcPr>
          <w:p w14:paraId="2ED2AB7A"/>
        </w:tc>
        <w:tc>
          <w:tcPr>
            <w:tcW w:w="411" w:type="pct"/>
            <w:vAlign w:val="center"/>
          </w:tcPr>
          <w:p w14:paraId="055837B6">
            <w:r>
              <w:t>26</w:t>
            </w:r>
          </w:p>
        </w:tc>
        <w:tc>
          <w:tcPr>
            <w:tcW w:w="2415" w:type="pct"/>
            <w:vAlign w:val="center"/>
          </w:tcPr>
          <w:p w14:paraId="6C95BB9D">
            <w:r>
              <w:rPr>
                <w:rFonts w:hint="eastAsia" w:cs="宋体"/>
              </w:rPr>
              <w:t>城市生活垃圾分类收集覆盖率（</w:t>
            </w:r>
            <w:r>
              <w:t>%</w:t>
            </w:r>
            <w:r>
              <w:rPr>
                <w:rFonts w:hint="eastAsia" w:cs="宋体"/>
              </w:rPr>
              <w:t>）</w:t>
            </w:r>
          </w:p>
        </w:tc>
        <w:tc>
          <w:tcPr>
            <w:tcW w:w="893" w:type="pct"/>
            <w:vAlign w:val="center"/>
          </w:tcPr>
          <w:p w14:paraId="153D8042">
            <w:r>
              <w:t>85</w:t>
            </w:r>
          </w:p>
        </w:tc>
        <w:tc>
          <w:tcPr>
            <w:tcW w:w="854" w:type="pct"/>
            <w:vAlign w:val="center"/>
          </w:tcPr>
          <w:p w14:paraId="4B6FBB3D">
            <w:r>
              <w:t>100</w:t>
            </w:r>
          </w:p>
        </w:tc>
      </w:tr>
      <w:tr w14:paraId="7BAB5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7" w:type="pct"/>
            <w:vMerge w:val="continue"/>
            <w:vAlign w:val="center"/>
          </w:tcPr>
          <w:p w14:paraId="0E45D131"/>
        </w:tc>
        <w:tc>
          <w:tcPr>
            <w:tcW w:w="411" w:type="pct"/>
            <w:vAlign w:val="center"/>
          </w:tcPr>
          <w:p w14:paraId="1D45E10C">
            <w:r>
              <w:t>27</w:t>
            </w:r>
          </w:p>
        </w:tc>
        <w:tc>
          <w:tcPr>
            <w:tcW w:w="2415" w:type="pct"/>
            <w:vAlign w:val="center"/>
          </w:tcPr>
          <w:p w14:paraId="61A77C05">
            <w:r>
              <w:rPr>
                <w:rFonts w:hint="eastAsia" w:cs="宋体"/>
              </w:rPr>
              <w:t>主次干道机扫率（</w:t>
            </w:r>
            <w:r>
              <w:t>%</w:t>
            </w:r>
            <w:r>
              <w:rPr>
                <w:rFonts w:hint="eastAsia" w:cs="宋体"/>
              </w:rPr>
              <w:t>）</w:t>
            </w:r>
          </w:p>
        </w:tc>
        <w:tc>
          <w:tcPr>
            <w:tcW w:w="893" w:type="pct"/>
            <w:vAlign w:val="center"/>
          </w:tcPr>
          <w:p w14:paraId="5B94816B">
            <w:r>
              <w:t>95</w:t>
            </w:r>
          </w:p>
        </w:tc>
        <w:tc>
          <w:tcPr>
            <w:tcW w:w="854" w:type="pct"/>
            <w:vAlign w:val="center"/>
          </w:tcPr>
          <w:p w14:paraId="3362E3DB">
            <w:r>
              <w:t>100</w:t>
            </w:r>
          </w:p>
        </w:tc>
      </w:tr>
      <w:tr w14:paraId="1F12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7" w:type="pct"/>
            <w:vMerge w:val="restart"/>
            <w:vAlign w:val="center"/>
          </w:tcPr>
          <w:p w14:paraId="55D3574F">
            <w:r>
              <w:rPr>
                <w:rFonts w:hint="eastAsia" w:cs="宋体"/>
              </w:rPr>
              <w:t>社会文明</w:t>
            </w:r>
          </w:p>
          <w:p w14:paraId="556916BE">
            <w:r>
              <w:rPr>
                <w:rFonts w:hint="eastAsia" w:cs="宋体"/>
              </w:rPr>
              <w:t>程度</w:t>
            </w:r>
          </w:p>
          <w:p w14:paraId="31FD4DB3">
            <w:r>
              <w:rPr>
                <w:rFonts w:hint="eastAsia" w:cs="宋体"/>
              </w:rPr>
              <w:t>高</w:t>
            </w:r>
          </w:p>
        </w:tc>
        <w:tc>
          <w:tcPr>
            <w:tcW w:w="411" w:type="pct"/>
            <w:vAlign w:val="center"/>
          </w:tcPr>
          <w:p w14:paraId="2B5616FA">
            <w:r>
              <w:t>28</w:t>
            </w:r>
          </w:p>
        </w:tc>
        <w:tc>
          <w:tcPr>
            <w:tcW w:w="2415" w:type="pct"/>
            <w:vAlign w:val="center"/>
          </w:tcPr>
          <w:p w14:paraId="535E4C7E">
            <w:r>
              <w:rPr>
                <w:rFonts w:hint="eastAsia" w:cs="宋体"/>
              </w:rPr>
              <w:t>法治建设满意度（</w:t>
            </w:r>
            <w:r>
              <w:t>%</w:t>
            </w:r>
            <w:r>
              <w:rPr>
                <w:rFonts w:hint="eastAsia" w:cs="宋体"/>
              </w:rPr>
              <w:t>）</w:t>
            </w:r>
          </w:p>
        </w:tc>
        <w:tc>
          <w:tcPr>
            <w:tcW w:w="893" w:type="pct"/>
            <w:vAlign w:val="center"/>
          </w:tcPr>
          <w:p w14:paraId="0844178F">
            <w:r>
              <w:t>&gt;90</w:t>
            </w:r>
          </w:p>
        </w:tc>
        <w:tc>
          <w:tcPr>
            <w:tcW w:w="854" w:type="pct"/>
            <w:vAlign w:val="center"/>
          </w:tcPr>
          <w:p w14:paraId="70B65C67">
            <w:r>
              <w:t>&gt;90</w:t>
            </w:r>
          </w:p>
        </w:tc>
      </w:tr>
      <w:tr w14:paraId="56B45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7" w:type="pct"/>
            <w:vMerge w:val="continue"/>
            <w:vAlign w:val="center"/>
          </w:tcPr>
          <w:p w14:paraId="4B904E7F"/>
        </w:tc>
        <w:tc>
          <w:tcPr>
            <w:tcW w:w="411" w:type="pct"/>
            <w:vAlign w:val="center"/>
          </w:tcPr>
          <w:p w14:paraId="15AA26F2">
            <w:r>
              <w:t>29</w:t>
            </w:r>
          </w:p>
        </w:tc>
        <w:tc>
          <w:tcPr>
            <w:tcW w:w="2415" w:type="pct"/>
            <w:vAlign w:val="center"/>
          </w:tcPr>
          <w:p w14:paraId="117E48F1">
            <w:r>
              <w:rPr>
                <w:rFonts w:hint="eastAsia" w:cs="宋体"/>
              </w:rPr>
              <w:t>公众安全感（</w:t>
            </w:r>
            <w:r>
              <w:t>%</w:t>
            </w:r>
            <w:r>
              <w:rPr>
                <w:rFonts w:hint="eastAsia" w:cs="宋体"/>
              </w:rPr>
              <w:t>）</w:t>
            </w:r>
          </w:p>
        </w:tc>
        <w:tc>
          <w:tcPr>
            <w:tcW w:w="893" w:type="pct"/>
            <w:vAlign w:val="center"/>
          </w:tcPr>
          <w:p w14:paraId="3040639F">
            <w:r>
              <w:t>&gt;92</w:t>
            </w:r>
          </w:p>
        </w:tc>
        <w:tc>
          <w:tcPr>
            <w:tcW w:w="854" w:type="pct"/>
            <w:vAlign w:val="center"/>
          </w:tcPr>
          <w:p w14:paraId="76289CF1">
            <w:r>
              <w:t>99.23</w:t>
            </w:r>
          </w:p>
        </w:tc>
      </w:tr>
      <w:tr w14:paraId="70E63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7" w:type="pct"/>
            <w:vMerge w:val="continue"/>
            <w:vAlign w:val="center"/>
          </w:tcPr>
          <w:p w14:paraId="710E7841"/>
        </w:tc>
        <w:tc>
          <w:tcPr>
            <w:tcW w:w="411" w:type="pct"/>
            <w:vAlign w:val="center"/>
          </w:tcPr>
          <w:p w14:paraId="73D93F19">
            <w:r>
              <w:t>30</w:t>
            </w:r>
          </w:p>
        </w:tc>
        <w:tc>
          <w:tcPr>
            <w:tcW w:w="2415" w:type="pct"/>
            <w:vAlign w:val="center"/>
          </w:tcPr>
          <w:p w14:paraId="73A67A5A">
            <w:r>
              <w:rPr>
                <w:rFonts w:hint="eastAsia" w:cs="宋体"/>
              </w:rPr>
              <w:t>省级和谐社区合格率（</w:t>
            </w:r>
            <w:r>
              <w:t>%</w:t>
            </w:r>
            <w:r>
              <w:rPr>
                <w:rFonts w:hint="eastAsia" w:cs="宋体"/>
              </w:rPr>
              <w:t>）</w:t>
            </w:r>
          </w:p>
        </w:tc>
        <w:tc>
          <w:tcPr>
            <w:tcW w:w="893" w:type="pct"/>
            <w:vAlign w:val="center"/>
          </w:tcPr>
          <w:p w14:paraId="576F5C22">
            <w:r>
              <w:t>95</w:t>
            </w:r>
          </w:p>
        </w:tc>
        <w:tc>
          <w:tcPr>
            <w:tcW w:w="854" w:type="pct"/>
            <w:vAlign w:val="center"/>
          </w:tcPr>
          <w:p w14:paraId="62B50D5A">
            <w:r>
              <w:t>98</w:t>
            </w:r>
          </w:p>
        </w:tc>
      </w:tr>
      <w:tr w14:paraId="0A6DC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7" w:type="pct"/>
            <w:vMerge w:val="continue"/>
            <w:vAlign w:val="center"/>
          </w:tcPr>
          <w:p w14:paraId="468CE42E"/>
        </w:tc>
        <w:tc>
          <w:tcPr>
            <w:tcW w:w="411" w:type="pct"/>
            <w:vAlign w:val="center"/>
          </w:tcPr>
          <w:p w14:paraId="61CD9E75">
            <w:r>
              <w:t>31</w:t>
            </w:r>
          </w:p>
        </w:tc>
        <w:tc>
          <w:tcPr>
            <w:tcW w:w="2415" w:type="pct"/>
            <w:vAlign w:val="center"/>
          </w:tcPr>
          <w:p w14:paraId="2B3BB65A">
            <w:r>
              <w:rPr>
                <w:rFonts w:hint="eastAsia" w:cs="宋体"/>
              </w:rPr>
              <w:t>每万人拥有社会组织数（个）</w:t>
            </w:r>
          </w:p>
        </w:tc>
        <w:tc>
          <w:tcPr>
            <w:tcW w:w="893" w:type="pct"/>
            <w:vAlign w:val="center"/>
          </w:tcPr>
          <w:p w14:paraId="5FB3DFC8">
            <w:r>
              <w:t>18</w:t>
            </w:r>
          </w:p>
        </w:tc>
        <w:tc>
          <w:tcPr>
            <w:tcW w:w="854" w:type="pct"/>
            <w:vAlign w:val="center"/>
          </w:tcPr>
          <w:p w14:paraId="7C488BCB">
            <w:r>
              <w:t>18</w:t>
            </w:r>
          </w:p>
        </w:tc>
      </w:tr>
      <w:tr w14:paraId="63326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7" w:type="pct"/>
            <w:vMerge w:val="continue"/>
            <w:vAlign w:val="center"/>
          </w:tcPr>
          <w:p w14:paraId="559223C6"/>
        </w:tc>
        <w:tc>
          <w:tcPr>
            <w:tcW w:w="411" w:type="pct"/>
            <w:vAlign w:val="center"/>
          </w:tcPr>
          <w:p w14:paraId="5FF4A863">
            <w:r>
              <w:t>32</w:t>
            </w:r>
          </w:p>
        </w:tc>
        <w:tc>
          <w:tcPr>
            <w:tcW w:w="2415" w:type="pct"/>
            <w:vAlign w:val="center"/>
          </w:tcPr>
          <w:p w14:paraId="05F80FA1">
            <w:r>
              <w:rPr>
                <w:rFonts w:hint="eastAsia" w:cs="宋体"/>
              </w:rPr>
              <w:t>城镇居委会依法自治达标率</w:t>
            </w:r>
          </w:p>
        </w:tc>
        <w:tc>
          <w:tcPr>
            <w:tcW w:w="893" w:type="pct"/>
            <w:vAlign w:val="center"/>
          </w:tcPr>
          <w:p w14:paraId="12840259">
            <w:r>
              <w:t>&gt;98.5</w:t>
            </w:r>
          </w:p>
        </w:tc>
        <w:tc>
          <w:tcPr>
            <w:tcW w:w="854" w:type="pct"/>
            <w:vAlign w:val="center"/>
          </w:tcPr>
          <w:p w14:paraId="666F8C39">
            <w:r>
              <w:t>100</w:t>
            </w:r>
          </w:p>
        </w:tc>
      </w:tr>
      <w:tr w14:paraId="21111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blHeader/>
          <w:jc w:val="center"/>
        </w:trPr>
        <w:tc>
          <w:tcPr>
            <w:tcW w:w="427" w:type="pct"/>
            <w:vMerge w:val="continue"/>
            <w:vAlign w:val="center"/>
          </w:tcPr>
          <w:p w14:paraId="65EF5632"/>
        </w:tc>
        <w:tc>
          <w:tcPr>
            <w:tcW w:w="411" w:type="pct"/>
            <w:vAlign w:val="center"/>
          </w:tcPr>
          <w:p w14:paraId="2BD123AE">
            <w:r>
              <w:t>33</w:t>
            </w:r>
          </w:p>
        </w:tc>
        <w:tc>
          <w:tcPr>
            <w:tcW w:w="2415" w:type="pct"/>
            <w:vAlign w:val="center"/>
          </w:tcPr>
          <w:p w14:paraId="0982D87A">
            <w:r>
              <w:rPr>
                <w:rFonts w:hint="eastAsia" w:cs="宋体"/>
              </w:rPr>
              <w:t>信用审查报告和信用承诺推广率（</w:t>
            </w:r>
            <w:r>
              <w:t>%</w:t>
            </w:r>
            <w:r>
              <w:rPr>
                <w:rFonts w:hint="eastAsia" w:cs="宋体"/>
              </w:rPr>
              <w:t>）</w:t>
            </w:r>
          </w:p>
        </w:tc>
        <w:tc>
          <w:tcPr>
            <w:tcW w:w="893" w:type="pct"/>
            <w:vAlign w:val="center"/>
          </w:tcPr>
          <w:p w14:paraId="702E4B43">
            <w:r>
              <w:t>80</w:t>
            </w:r>
          </w:p>
        </w:tc>
        <w:tc>
          <w:tcPr>
            <w:tcW w:w="854" w:type="pct"/>
            <w:vAlign w:val="center"/>
          </w:tcPr>
          <w:p w14:paraId="0677A0DE">
            <w:r>
              <w:t>80</w:t>
            </w:r>
          </w:p>
        </w:tc>
      </w:tr>
    </w:tbl>
    <w:p w14:paraId="7BC8E85C">
      <w:pPr>
        <w:spacing w:line="590" w:lineRule="exact"/>
        <w:ind w:firstLine="629"/>
        <w:rPr>
          <w:rFonts w:eastAsia="方正仿宋_GBK"/>
          <w:sz w:val="32"/>
          <w:szCs w:val="32"/>
        </w:rPr>
      </w:pPr>
      <w:r>
        <w:rPr>
          <w:rFonts w:hint="eastAsia" w:eastAsia="方正仿宋_GBK" w:cs="方正仿宋_GBK"/>
          <w:sz w:val="32"/>
          <w:szCs w:val="32"/>
        </w:rPr>
        <w:t>在取得成绩的同时，我们也看到秦淮发展不均衡、不协调、不充分问题仍然较为突出，科技创新支撑高质量发展的动能不够强劲，科教资源“潜优势”尚未能转化为创新的“显实力”，主导产业规模和质量有待进一步提升，产业结构有待进一步优化，高质量、高成长、高技术性企业的支撑作用发挥还有较大的提升空间。老城整体风貌、文化传承和产业发展的统一谋划，新城项目载体建设、产业布局招商的一体推进有待继续深化，老城、新城在交通路网融通、基础设施和公共服务统筹规划建设等方面还大有可为。重点领域关键环节改革任务仍然艰巨，区级层面的探索性、创新性、引领性改革仍显不足。基本公共服务刚性支出压力较大，尤其是老城载体资源相对匮乏，普惠养老、托幼等供给尚存在缺口，成套住房、文化体育设施建设等民生短板亟待补足。生态环境仍然较为脆弱，水环境和生态环境的长效保持仍需加大力度。相比丰厚的资源禀赋，秦淮的资源优势还没有转化为发展的胜势，在南京中心城区的首位度还不够突出，在省市主城区激烈竞争中面临较大压力。</w:t>
      </w:r>
    </w:p>
    <w:p w14:paraId="405B4B19">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21" w:name="_Toc435210088"/>
      <w:bookmarkStart w:id="22" w:name="_Toc436730128"/>
      <w:bookmarkStart w:id="23" w:name="_Toc435213976"/>
      <w:bookmarkStart w:id="24" w:name="_Toc435210314"/>
      <w:bookmarkStart w:id="25" w:name="_Toc439776007"/>
      <w:bookmarkStart w:id="26" w:name="_Toc60466204"/>
      <w:r>
        <w:rPr>
          <w:rFonts w:hint="eastAsia" w:ascii="方正黑体_GBK" w:hAnsi="方正黑体_GBK" w:eastAsia="方正黑体_GBK" w:cs="方正黑体_GBK"/>
          <w:b w:val="0"/>
          <w:bCs w:val="0"/>
        </w:rPr>
        <w:t>第二章</w:t>
      </w:r>
      <w:bookmarkEnd w:id="21"/>
      <w:bookmarkEnd w:id="22"/>
      <w:bookmarkEnd w:id="23"/>
      <w:bookmarkEnd w:id="24"/>
      <w:bookmarkEnd w:id="25"/>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机遇挑战</w:t>
      </w:r>
      <w:bookmarkEnd w:id="26"/>
    </w:p>
    <w:p w14:paraId="6D913624">
      <w:pPr>
        <w:spacing w:line="590" w:lineRule="exact"/>
        <w:ind w:firstLine="629"/>
        <w:rPr>
          <w:rFonts w:eastAsia="方正仿宋_GBK"/>
          <w:sz w:val="32"/>
          <w:szCs w:val="32"/>
        </w:rPr>
      </w:pPr>
      <w:bookmarkStart w:id="27" w:name="_Toc439776010"/>
      <w:bookmarkStart w:id="28" w:name="_Toc435210317"/>
      <w:bookmarkStart w:id="29" w:name="_Toc436730131"/>
      <w:bookmarkStart w:id="30" w:name="_Toc435213979"/>
      <w:r>
        <w:rPr>
          <w:rFonts w:hint="eastAsia" w:eastAsia="方正仿宋_GBK" w:cs="方正仿宋_GBK"/>
          <w:sz w:val="32"/>
          <w:szCs w:val="32"/>
        </w:rPr>
        <w:t>“十四五”时期，世界呈现竞争优势重塑、经贸规则重建、力量格局重构的叠加态势，尤其是随着新冠疫情对全球经济社会的影响向纵深持续延展，预计未来五年，世界经济下行风险仍将加剧，我们面临的国际环境不稳定、不确定因素将显著增多，将对我们的区域经济社会发展带来不同以往的深远影响。</w:t>
      </w:r>
    </w:p>
    <w:p w14:paraId="64A796AE">
      <w:pPr>
        <w:spacing w:line="590" w:lineRule="exact"/>
        <w:ind w:firstLine="629"/>
        <w:rPr>
          <w:rFonts w:ascii="方正楷体_GBK" w:hAnsi="方正楷体_GBK" w:eastAsia="方正楷体_GBK"/>
          <w:sz w:val="32"/>
          <w:szCs w:val="32"/>
        </w:rPr>
      </w:pPr>
      <w:r>
        <w:rPr>
          <w:rFonts w:ascii="方正楷体_GBK" w:hAnsi="方正楷体_GBK" w:eastAsia="方正楷体_GBK" w:cs="方正楷体_GBK"/>
          <w:sz w:val="32"/>
          <w:szCs w:val="32"/>
        </w:rPr>
        <w:t>——</w:t>
      </w:r>
      <w:r>
        <w:rPr>
          <w:rFonts w:hint="eastAsia" w:ascii="方正楷体_GBK" w:hAnsi="方正楷体_GBK" w:eastAsia="方正楷体_GBK" w:cs="方正楷体_GBK"/>
          <w:sz w:val="32"/>
          <w:szCs w:val="32"/>
        </w:rPr>
        <w:t>国际形势</w:t>
      </w:r>
    </w:p>
    <w:p w14:paraId="0CF9515F">
      <w:pPr>
        <w:spacing w:line="590" w:lineRule="exact"/>
        <w:ind w:firstLine="629"/>
        <w:rPr>
          <w:rFonts w:eastAsia="方正仿宋_GBK"/>
          <w:sz w:val="32"/>
          <w:szCs w:val="32"/>
        </w:rPr>
      </w:pPr>
      <w:r>
        <w:rPr>
          <w:rFonts w:hint="eastAsia" w:eastAsia="方正仿宋_GBK" w:cs="方正仿宋_GBK"/>
          <w:sz w:val="32"/>
          <w:szCs w:val="32"/>
        </w:rPr>
        <w:t>国际环境日趋复杂，经济全球化遭遇逆流、一些国家保护主义和单边主义盛行、地缘政治风险上升，新冠肺炎疫情全球大流行带来世界经济深度衰退、国际贸易和投资大幅萎缩、国际金融市场动荡、国际交往受限，全球产业链、供应链受到冲击，经济社会发展不稳定性、不确定性明显增强。但同时，区域全面经济伙伴关系协定（</w:t>
      </w:r>
      <w:r>
        <w:rPr>
          <w:rFonts w:eastAsia="方正仿宋_GBK"/>
          <w:sz w:val="32"/>
          <w:szCs w:val="32"/>
        </w:rPr>
        <w:t>RCEP</w:t>
      </w:r>
      <w:r>
        <w:rPr>
          <w:rFonts w:hint="eastAsia" w:eastAsia="方正仿宋_GBK" w:cs="方正仿宋_GBK"/>
          <w:sz w:val="32"/>
          <w:szCs w:val="32"/>
        </w:rPr>
        <w:t>）成功签署，人工智能、</w:t>
      </w:r>
      <w:r>
        <w:rPr>
          <w:rFonts w:eastAsia="方正仿宋_GBK"/>
          <w:sz w:val="32"/>
          <w:szCs w:val="32"/>
        </w:rPr>
        <w:t>5G</w:t>
      </w:r>
      <w:r>
        <w:rPr>
          <w:rFonts w:hint="eastAsia" w:eastAsia="方正仿宋_GBK" w:cs="方正仿宋_GBK"/>
          <w:sz w:val="32"/>
          <w:szCs w:val="32"/>
        </w:rPr>
        <w:t>、物联网等为先导的新技术革命加速突破，也为地区发展繁荣和世界经济恢复性增长带来了曙光。国际形势的影响传导到区域层面，一方面，外部需求不足会对外向型经济生存发展造成挤压式打击，海外招商引资难度加大，秦淮企业走出去进行海外并购，引进大体量投资和关键性技术也存在壁垒；另一方面，外部经济环境不稳定会促使行业更精准地聚焦国内市场，把扩大内需和发挥内循环主体作用作为首要任务，加大面向内需的供给侧改革和需求侧管理，有助于区域内大企业和企业集团深耕本土市场，健全上下游产业链，有助于激励本土企业加快原始创新和科研投入力度，激发创新的内生动力，培育一批自主创新人才，通过自主研发，突破一批“卡脖子”技术。</w:t>
      </w:r>
    </w:p>
    <w:p w14:paraId="449B70BB">
      <w:pPr>
        <w:spacing w:line="590" w:lineRule="exact"/>
        <w:ind w:firstLine="629"/>
        <w:rPr>
          <w:rFonts w:ascii="方正楷体_GBK" w:hAnsi="方正楷体_GBK" w:eastAsia="方正楷体_GBK"/>
          <w:sz w:val="32"/>
          <w:szCs w:val="32"/>
        </w:rPr>
      </w:pPr>
      <w:r>
        <w:rPr>
          <w:rFonts w:ascii="方正楷体_GBK" w:hAnsi="方正楷体_GBK" w:eastAsia="方正楷体_GBK" w:cs="方正楷体_GBK"/>
          <w:sz w:val="32"/>
          <w:szCs w:val="32"/>
        </w:rPr>
        <w:t>——</w:t>
      </w:r>
      <w:r>
        <w:rPr>
          <w:rFonts w:hint="eastAsia" w:ascii="方正楷体_GBK" w:hAnsi="方正楷体_GBK" w:eastAsia="方正楷体_GBK" w:cs="方正楷体_GBK"/>
          <w:sz w:val="32"/>
          <w:szCs w:val="32"/>
        </w:rPr>
        <w:t>国内环境</w:t>
      </w:r>
    </w:p>
    <w:p w14:paraId="5DFA1EE1">
      <w:pPr>
        <w:spacing w:line="590" w:lineRule="exact"/>
        <w:ind w:firstLine="629"/>
        <w:rPr>
          <w:rFonts w:eastAsia="方正仿宋_GBK"/>
          <w:sz w:val="32"/>
          <w:szCs w:val="32"/>
        </w:rPr>
      </w:pPr>
      <w:r>
        <w:rPr>
          <w:rFonts w:hint="eastAsia" w:eastAsia="方正仿宋_GBK" w:cs="方正仿宋_GBK"/>
          <w:sz w:val="32"/>
          <w:szCs w:val="32"/>
        </w:rPr>
        <w:t>“十四五”时期，是我国处在转变发展方式、优化经济结构、转换增长动力的攻关期。社会主要矛盾发展变化给经济社会发展带来了新特征和新要求，构建国内大循环为主体，国内国际双循环相互促进的新发展格局意义重大。虽然面临着结构性、体制性、周期性问题相互交织所带来的困难和挑战，经济运行和社会发展面临较大压力，但我国制度优势显著，发展韧性强大，社会大局稳定，这都是高质量、可持续发展的优势和条件。国内环境影响辐射到区域层面，在产业高质量发展领域，三次产业壁垒进一步打破，细分产业逐步和新科技、新业态融合趋势更加明显，预期会为秦淮传统商贸业注入文旅商融合基因，实现突破性转型升级，都市工业重焕生机，物联网、</w:t>
      </w:r>
      <w:r>
        <w:rPr>
          <w:rFonts w:eastAsia="方正仿宋_GBK"/>
          <w:sz w:val="32"/>
          <w:szCs w:val="32"/>
        </w:rPr>
        <w:t>5G</w:t>
      </w:r>
      <w:r>
        <w:rPr>
          <w:rFonts w:hint="eastAsia" w:eastAsia="方正仿宋_GBK" w:cs="方正仿宋_GBK"/>
          <w:sz w:val="32"/>
          <w:szCs w:val="32"/>
        </w:rPr>
        <w:t>、大数据等未来产业和数字经济布局产生较强的正向拉动作用。在民生高质量发展领域，百姓对社会民生发展的诉求将更多元，对政府公共服务供给的内容、和品质有更高期待和要求，也更加需要依靠市场和社会力量提升公共服务建管效率。这样的变化会对基层政府经济和社会发展治理能力现代化、公共服务配置均等化品质化、社会治理与居民自治、志愿者和非营利性社会机构发展等提出更高要求。在生态环境高质量发展方面，践行“绿水青山就是金山银山”，以碳达峰、碳中和目标为指引，共同推进长江经济带保护，加大生态文明建设和环境保护力度，坚持生态优先、绿色发展，将成为“十四五”期间的常态。这将促使我们从被动污染治理向主动绿色发展转型，树立集成思维，系统解决环保、民生改善和产业发展问题，把海绵城市、绿色建筑、循环低碳经济等高标准融入秦淮老城、新城建设，发挥秦淮水文化优势，展现水环境底色，释放水生态价值。</w:t>
      </w:r>
    </w:p>
    <w:p w14:paraId="1036B974">
      <w:pPr>
        <w:spacing w:line="590" w:lineRule="exact"/>
        <w:ind w:firstLine="629"/>
        <w:rPr>
          <w:rFonts w:ascii="方正楷体_GBK" w:hAnsi="方正楷体_GBK" w:eastAsia="方正楷体_GBK"/>
          <w:sz w:val="32"/>
          <w:szCs w:val="32"/>
        </w:rPr>
      </w:pPr>
      <w:r>
        <w:rPr>
          <w:rFonts w:ascii="方正楷体_GBK" w:hAnsi="方正楷体_GBK" w:eastAsia="方正楷体_GBK" w:cs="方正楷体_GBK"/>
          <w:sz w:val="32"/>
          <w:szCs w:val="32"/>
        </w:rPr>
        <w:t>——</w:t>
      </w:r>
      <w:r>
        <w:rPr>
          <w:rFonts w:hint="eastAsia" w:ascii="方正楷体_GBK" w:hAnsi="方正楷体_GBK" w:eastAsia="方正楷体_GBK" w:cs="方正楷体_GBK"/>
          <w:sz w:val="32"/>
          <w:szCs w:val="32"/>
        </w:rPr>
        <w:t>区域优势</w:t>
      </w:r>
    </w:p>
    <w:p w14:paraId="758B3F41">
      <w:pPr>
        <w:spacing w:line="590" w:lineRule="exact"/>
        <w:ind w:firstLine="629"/>
        <w:rPr>
          <w:rFonts w:eastAsia="方正仿宋_GBK"/>
          <w:sz w:val="32"/>
          <w:szCs w:val="32"/>
        </w:rPr>
      </w:pPr>
      <w:r>
        <w:rPr>
          <w:rFonts w:hint="eastAsia" w:eastAsia="方正仿宋_GBK" w:cs="方正仿宋_GBK"/>
          <w:sz w:val="32"/>
          <w:szCs w:val="32"/>
        </w:rPr>
        <w:t>秦淮作为全省区域面积最小的城区，是金陵历史文脉最完整历史资源最丰富、历史影响最深远的老城核心区。“十里秦淮”是中国文化含金量最高的一条河，也是我国第一历史文化名河。秦淮老城棚改面积占到南京市主城的三成，是南京城市老旧小区改造的主阵地。南部新城为南京主城核心区释放出</w:t>
      </w:r>
      <w:r>
        <w:rPr>
          <w:rFonts w:eastAsia="方正仿宋_GBK"/>
          <w:sz w:val="32"/>
          <w:szCs w:val="32"/>
        </w:rPr>
        <w:t>10</w:t>
      </w:r>
      <w:r>
        <w:rPr>
          <w:rFonts w:hint="eastAsia" w:eastAsia="方正仿宋_GBK" w:cs="方正仿宋_GBK"/>
          <w:sz w:val="32"/>
          <w:szCs w:val="32"/>
        </w:rPr>
        <w:t>平方公里优质土地，建设框架逐步拉开。经过多年砥砺，秦淮在江苏省高质量发展综合考核中，名列全省城区第一名，资源优势明显，发展基础优良，未来可为空间广阔。“十四五”时期，是秦淮紧抓基础优势，加大改革创新力度，探索发展模式创新，从文化旅游资源优势和传统产业比较优势中破局，提高站位思考，提升融入大都市圈、城市群的意识，在共享发展、资源优势辐射等方面取得突破性进展的关键期。在国家层面，融入“一带一路”发展格局，融入“长三角一体化”发展战略，融入长江经济带保护建设。在城市群层面，融入沿沪宁产业创新带建设，融入宁杭生态经济带建设，融入“宁镇扬”一体化发展。在南京市层面，融入紫东片区发展规划，精准对接江北新区国家级新区和自贸区机遇。力争在更大坐标系中找到定位，成为更大格局中的关键环节、特色高地和发展样本。</w:t>
      </w:r>
    </w:p>
    <w:p w14:paraId="205B59D2">
      <w:pPr>
        <w:pStyle w:val="2"/>
        <w:rPr>
          <w:rFonts w:eastAsia="方正仿宋_GBK"/>
          <w:sz w:val="32"/>
          <w:szCs w:val="32"/>
        </w:rPr>
      </w:pPr>
    </w:p>
    <w:p w14:paraId="0F1FD4F9">
      <w:pPr>
        <w:pStyle w:val="2"/>
        <w:rPr>
          <w:rFonts w:eastAsia="方正仿宋_GBK"/>
          <w:sz w:val="32"/>
          <w:szCs w:val="32"/>
        </w:rPr>
      </w:pPr>
    </w:p>
    <w:p w14:paraId="4389B9CF">
      <w:pPr>
        <w:pStyle w:val="2"/>
        <w:rPr>
          <w:rFonts w:eastAsia="方正仿宋_GBK"/>
          <w:sz w:val="32"/>
          <w:szCs w:val="32"/>
        </w:rPr>
      </w:pPr>
    </w:p>
    <w:bookmarkEnd w:id="27"/>
    <w:bookmarkEnd w:id="28"/>
    <w:bookmarkEnd w:id="29"/>
    <w:bookmarkEnd w:id="30"/>
    <w:p w14:paraId="29B683BD">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31" w:name="_Toc426387904"/>
      <w:bookmarkStart w:id="32" w:name="_Toc439776011"/>
      <w:bookmarkStart w:id="33" w:name="_Toc435210318"/>
      <w:bookmarkStart w:id="34" w:name="_Toc436730132"/>
      <w:bookmarkStart w:id="35" w:name="_Toc435210091"/>
      <w:bookmarkStart w:id="36" w:name="_Toc435213980"/>
      <w:bookmarkStart w:id="37" w:name="_Toc60466205"/>
      <w:r>
        <w:rPr>
          <w:rFonts w:hint="eastAsia" w:ascii="方正黑体_GBK" w:hAnsi="方正黑体_GBK" w:eastAsia="方正黑体_GBK" w:cs="方正黑体_GBK"/>
          <w:b w:val="0"/>
          <w:bCs w:val="0"/>
        </w:rPr>
        <w:t>第三</w:t>
      </w:r>
      <w:bookmarkEnd w:id="31"/>
      <w:r>
        <w:rPr>
          <w:rFonts w:hint="eastAsia" w:ascii="方正黑体_GBK" w:hAnsi="方正黑体_GBK" w:eastAsia="方正黑体_GBK" w:cs="方正黑体_GBK"/>
          <w:b w:val="0"/>
          <w:bCs w:val="0"/>
        </w:rPr>
        <w:t>章</w:t>
      </w:r>
      <w:bookmarkEnd w:id="32"/>
      <w:bookmarkEnd w:id="33"/>
      <w:bookmarkEnd w:id="34"/>
      <w:bookmarkEnd w:id="35"/>
      <w:bookmarkEnd w:id="36"/>
      <w:bookmarkStart w:id="38" w:name="_Toc426387901"/>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总体要求</w:t>
      </w:r>
      <w:bookmarkEnd w:id="37"/>
    </w:p>
    <w:p w14:paraId="6ACD1450">
      <w:pPr>
        <w:pStyle w:val="5"/>
        <w:spacing w:after="200"/>
        <w:jc w:val="center"/>
        <w:rPr>
          <w:rFonts w:ascii="方正楷体_GBK" w:hAnsi="方正楷体_GBK" w:eastAsia="方正楷体_GBK"/>
          <w:b w:val="0"/>
          <w:bCs w:val="0"/>
        </w:rPr>
      </w:pPr>
      <w:bookmarkStart w:id="39" w:name="_Toc60466206"/>
      <w:bookmarkStart w:id="40" w:name="_Toc435210092"/>
      <w:bookmarkStart w:id="41" w:name="_Toc439776012"/>
      <w:bookmarkStart w:id="42" w:name="_Toc435210319"/>
      <w:bookmarkStart w:id="43" w:name="_Toc435213981"/>
      <w:bookmarkStart w:id="44" w:name="_Toc436730133"/>
      <w:r>
        <w:rPr>
          <w:rFonts w:hint="eastAsia" w:ascii="方正楷体_GBK" w:hAnsi="方正楷体_GBK" w:eastAsia="方正楷体_GBK" w:cs="方正楷体_GBK"/>
          <w:b w:val="0"/>
          <w:bCs w:val="0"/>
        </w:rPr>
        <w:t>第一节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指导思想</w:t>
      </w:r>
      <w:bookmarkEnd w:id="38"/>
      <w:bookmarkEnd w:id="39"/>
      <w:bookmarkEnd w:id="40"/>
      <w:bookmarkEnd w:id="41"/>
      <w:bookmarkEnd w:id="42"/>
      <w:bookmarkEnd w:id="43"/>
      <w:bookmarkEnd w:id="44"/>
    </w:p>
    <w:p w14:paraId="59B9AFAC">
      <w:pPr>
        <w:spacing w:line="590" w:lineRule="exact"/>
        <w:ind w:firstLine="629"/>
        <w:rPr>
          <w:rFonts w:eastAsia="方正仿宋_GBK"/>
          <w:sz w:val="32"/>
          <w:szCs w:val="32"/>
        </w:rPr>
      </w:pPr>
      <w:r>
        <w:rPr>
          <w:rFonts w:hint="eastAsia" w:eastAsia="方正仿宋_GBK" w:cs="方正仿宋_GBK"/>
          <w:sz w:val="32"/>
          <w:szCs w:val="32"/>
        </w:rPr>
        <w:t>高举中国特色社会主义伟大旗帜，深入贯彻党的十九大和十九届二中、三中、四中、五中全会精神，落实习近平总书记视察江苏重要指示和全面推动长江经济带发展座谈会重要讲话精神，坚持以马克思列宁主义、毛泽东思想、邓小平理论、“三个代表”重要思想、科学发展观、习近平新时代中国特色社会主义思想为指导，全面贯彻党的基本理论、基本路线、基本方略，统筹推进“五位一体”总体布局，协调推进全面建设社会主义现代化国家、全面深化改革、全面依法治国、全面从严治党的战略布局，坚定不移贯彻新发展理念，认真落实中央和省市委决策部署，以推动高质量发展为主题，以深化供给侧结构性改革为主线，以改革创新为根本动力，以满足人民日益增长的美好生活需要为根本目的，立足既有发展定位不动摇，立足“特而精、最南京”的目标定位不动摇，高品质保护更新老城、高质量开发建设新城、推动老城与新城融合共生，奋力推进高质量发展、创造高品质生活、实现高效能治理，确保实现“十四五”规划确定的目标任务，不断把“强富美高”新秦淮建设推向前进，在江苏践行“争当表率、争做示范、走在前列”中扛起主城担当、展现主城作为。</w:t>
      </w:r>
    </w:p>
    <w:p w14:paraId="09687B57">
      <w:pPr>
        <w:spacing w:line="590" w:lineRule="exact"/>
        <w:ind w:firstLine="629"/>
        <w:rPr>
          <w:rFonts w:eastAsia="方正仿宋_GBK"/>
          <w:sz w:val="32"/>
          <w:szCs w:val="32"/>
        </w:rPr>
      </w:pPr>
      <w:r>
        <w:rPr>
          <w:rFonts w:hint="eastAsia" w:eastAsia="方正仿宋_GBK" w:cs="方正仿宋_GBK"/>
          <w:sz w:val="32"/>
          <w:szCs w:val="32"/>
        </w:rPr>
        <w:t>在规划编制和实施过程中，坚持把握基本原则：</w:t>
      </w:r>
      <w:bookmarkStart w:id="45" w:name="_Toc439776013"/>
      <w:bookmarkStart w:id="46" w:name="_Toc435213982"/>
      <w:bookmarkStart w:id="47" w:name="_Toc436730134"/>
      <w:bookmarkStart w:id="48" w:name="_Toc435210093"/>
      <w:bookmarkStart w:id="49" w:name="_Toc435210320"/>
    </w:p>
    <w:p w14:paraId="56578821">
      <w:pPr>
        <w:spacing w:line="590" w:lineRule="exact"/>
        <w:ind w:firstLine="629"/>
        <w:rPr>
          <w:rFonts w:eastAsia="方正仿宋_GBK"/>
          <w:sz w:val="32"/>
          <w:szCs w:val="32"/>
        </w:rPr>
      </w:pPr>
      <w:r>
        <w:rPr>
          <w:rFonts w:eastAsia="方正仿宋_GBK"/>
          <w:sz w:val="32"/>
          <w:szCs w:val="32"/>
        </w:rPr>
        <w:t>——</w:t>
      </w:r>
      <w:r>
        <w:rPr>
          <w:rFonts w:hint="eastAsia" w:eastAsia="方正仿宋_GBK" w:cs="方正仿宋_GBK"/>
          <w:sz w:val="32"/>
          <w:szCs w:val="32"/>
        </w:rPr>
        <w:t>坚持党的全面领导。贯彻党把方向、谋大局、定政策、促改革的要求，进一步</w:t>
      </w:r>
      <w:r>
        <w:rPr>
          <w:rFonts w:hint="eastAsia" w:eastAsia="方正仿宋_GBK" w:cs="方正仿宋_GBK"/>
          <w:sz w:val="32"/>
          <w:szCs w:val="32"/>
          <w:lang w:eastAsia="zh-CN"/>
        </w:rPr>
        <w:t>增强“四个意识”、坚定“四个自信”、做到“两个维护”</w:t>
      </w:r>
      <w:r>
        <w:rPr>
          <w:rFonts w:hint="eastAsia" w:eastAsia="方正仿宋_GBK" w:cs="方正仿宋_GBK"/>
          <w:sz w:val="32"/>
          <w:szCs w:val="32"/>
        </w:rPr>
        <w:t>，坚持和完善党领导经济社会发展的体制机制，坚持和完善中国特色社会主义制度，不断提高贯彻新发展理念、服务新发展格局的能力和水平，为实现高质量发展提供根本保证。</w:t>
      </w:r>
    </w:p>
    <w:p w14:paraId="4E1FB55E">
      <w:pPr>
        <w:spacing w:line="590" w:lineRule="exact"/>
        <w:ind w:firstLine="629"/>
        <w:rPr>
          <w:rFonts w:eastAsia="方正仿宋_GBK"/>
          <w:sz w:val="32"/>
          <w:szCs w:val="32"/>
        </w:rPr>
      </w:pPr>
      <w:r>
        <w:rPr>
          <w:rFonts w:eastAsia="方正仿宋_GBK"/>
          <w:sz w:val="32"/>
          <w:szCs w:val="32"/>
        </w:rPr>
        <w:t>——</w:t>
      </w:r>
      <w:r>
        <w:rPr>
          <w:rFonts w:hint="eastAsia" w:eastAsia="方正仿宋_GBK" w:cs="方正仿宋_GBK"/>
          <w:sz w:val="32"/>
          <w:szCs w:val="32"/>
        </w:rPr>
        <w:t>坚持以人民为中心的发展思想。将满足人民对美好生活的向往作为一切工作的出发点和落脚点，坚持人民主体地位，坚持共同富裕方向，把让人民宜居安居放在首位，始终做到发展为了人民、发展依靠人民、发展成果由人民共享，维护人民根本利益，激发全区广大群众参与城市治理的积极性、主动性、创造性，加快补齐公共服务短板、促进社会公平，增进民生福祉，提高人民群众的获得感、幸福感、安全感。</w:t>
      </w:r>
    </w:p>
    <w:p w14:paraId="42361B59">
      <w:pPr>
        <w:spacing w:line="590" w:lineRule="exact"/>
        <w:ind w:firstLine="629"/>
        <w:rPr>
          <w:rFonts w:eastAsia="方正仿宋_GBK"/>
          <w:sz w:val="32"/>
          <w:szCs w:val="32"/>
        </w:rPr>
      </w:pPr>
      <w:r>
        <w:rPr>
          <w:rFonts w:eastAsia="方正仿宋_GBK"/>
          <w:sz w:val="32"/>
          <w:szCs w:val="32"/>
        </w:rPr>
        <w:t>——</w:t>
      </w:r>
      <w:r>
        <w:rPr>
          <w:rFonts w:hint="eastAsia" w:eastAsia="方正仿宋_GBK" w:cs="方正仿宋_GBK"/>
          <w:sz w:val="32"/>
          <w:szCs w:val="32"/>
        </w:rPr>
        <w:t>坚持新发展理念。将新发展理念作为秦淮发展的指挥棒和红绿灯，贯穿到经济社会发展的全过程和各领域，用以谋划发展思路、确立前进方向、找准着力重点，积极融入新发展格局，切实转变发展方式，推动质量变革、效率变革、动力变革，实现更有效率、更加公平、更可持续、更为安全的发展，更加彰显生态之美、人文之美、和谐之美。</w:t>
      </w:r>
    </w:p>
    <w:p w14:paraId="1C7AD92E">
      <w:pPr>
        <w:spacing w:line="590" w:lineRule="exact"/>
        <w:ind w:firstLine="629"/>
        <w:rPr>
          <w:rFonts w:eastAsia="方正仿宋_GBK"/>
          <w:sz w:val="32"/>
          <w:szCs w:val="32"/>
        </w:rPr>
      </w:pPr>
      <w:r>
        <w:rPr>
          <w:rFonts w:eastAsia="方正仿宋_GBK"/>
          <w:sz w:val="32"/>
          <w:szCs w:val="32"/>
        </w:rPr>
        <w:t>——</w:t>
      </w:r>
      <w:r>
        <w:rPr>
          <w:rFonts w:hint="eastAsia" w:eastAsia="方正仿宋_GBK" w:cs="方正仿宋_GBK"/>
          <w:sz w:val="32"/>
          <w:szCs w:val="32"/>
        </w:rPr>
        <w:t>坚持一张蓝图绘到底。落实习近平总书记“强富美高”谆谆嘱托与“争当表率、争做示范、走在前列”新的更高要求，坚持既有发展定位和发展目标不动摇，一锤接着一锤敲、一任接着一任干，更高品质保护更新老城、更高质量开发建设新城、更深层次推动老城与新城融合共生，与时俱进丰富拓展“精准、精细、精致”的发展内涵，让“上善、风雅、活力”成为秦淮最显著的标识特征，打响“特而精、最南京”的城市品牌。</w:t>
      </w:r>
    </w:p>
    <w:p w14:paraId="13B05F21">
      <w:pPr>
        <w:spacing w:line="590" w:lineRule="exact"/>
        <w:ind w:firstLine="629"/>
        <w:rPr>
          <w:rFonts w:eastAsia="方正仿宋_GBK"/>
          <w:sz w:val="32"/>
          <w:szCs w:val="32"/>
        </w:rPr>
      </w:pPr>
      <w:r>
        <w:rPr>
          <w:rFonts w:eastAsia="方正仿宋_GBK"/>
          <w:sz w:val="32"/>
          <w:szCs w:val="32"/>
        </w:rPr>
        <w:t>——</w:t>
      </w:r>
      <w:r>
        <w:rPr>
          <w:rFonts w:hint="eastAsia" w:eastAsia="方正仿宋_GBK" w:cs="方正仿宋_GBK"/>
          <w:sz w:val="32"/>
          <w:szCs w:val="32"/>
        </w:rPr>
        <w:t>坚持深化改革创新。坚定不移深化改革，坚定不移推动创新，加强区域治理体系和治理能力现代化建设，破除制约高质量发展、高品质生活、高效能治理的体制机制障碍，强化有利于提高资源配置效率、有利于调动全社会积极性的重大改革创新举措，有效激发内在动力和发展活力。</w:t>
      </w:r>
    </w:p>
    <w:p w14:paraId="0E703CC0">
      <w:pPr>
        <w:spacing w:line="590" w:lineRule="exact"/>
        <w:ind w:firstLine="629"/>
        <w:rPr>
          <w:rFonts w:eastAsia="仿宋"/>
          <w:sz w:val="32"/>
          <w:szCs w:val="32"/>
        </w:rPr>
      </w:pPr>
      <w:r>
        <w:rPr>
          <w:rFonts w:eastAsia="方正仿宋_GBK"/>
          <w:sz w:val="32"/>
          <w:szCs w:val="32"/>
        </w:rPr>
        <w:t>——</w:t>
      </w:r>
      <w:r>
        <w:rPr>
          <w:rFonts w:hint="eastAsia" w:eastAsia="方正仿宋_GBK" w:cs="方正仿宋_GBK"/>
          <w:sz w:val="32"/>
          <w:szCs w:val="32"/>
        </w:rPr>
        <w:t>坚持系统观念。加强前瞻性思考、全局性谋划、战略性布局、整体性推进，服从和服务全国和省市发展大局，统筹办好发展和安全两件大事，从事物发展的全过程、产业发展的全链条、企业发展的全生命周期出发，着力固根基、扬优势、补短板、强弱项，注重防范化解重大风险挑战，实现发展质量、结构、规模、速度、效益、安全相统一。</w:t>
      </w:r>
    </w:p>
    <w:p w14:paraId="21D1D60F">
      <w:pPr>
        <w:pStyle w:val="5"/>
        <w:spacing w:after="200"/>
        <w:jc w:val="center"/>
        <w:rPr>
          <w:rFonts w:ascii="方正楷体_GBK" w:hAnsi="方正楷体_GBK" w:eastAsia="方正楷体_GBK"/>
          <w:b w:val="0"/>
          <w:bCs w:val="0"/>
        </w:rPr>
      </w:pPr>
      <w:bookmarkStart w:id="50" w:name="_Toc60466207"/>
      <w:r>
        <w:rPr>
          <w:rFonts w:hint="eastAsia" w:ascii="方正楷体_GBK" w:hAnsi="方正楷体_GBK" w:eastAsia="方正楷体_GBK" w:cs="方正楷体_GBK"/>
          <w:b w:val="0"/>
          <w:bCs w:val="0"/>
        </w:rPr>
        <w:t>第二节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总体格局</w:t>
      </w:r>
      <w:bookmarkEnd w:id="45"/>
      <w:bookmarkEnd w:id="50"/>
    </w:p>
    <w:p w14:paraId="465D1F7A">
      <w:pPr>
        <w:spacing w:line="590" w:lineRule="exact"/>
        <w:ind w:firstLine="629"/>
        <w:rPr>
          <w:rFonts w:eastAsia="方正仿宋_GBK"/>
          <w:sz w:val="32"/>
          <w:szCs w:val="32"/>
        </w:rPr>
      </w:pPr>
      <w:bookmarkStart w:id="51" w:name="_Toc439776014"/>
      <w:r>
        <w:rPr>
          <w:rFonts w:hint="eastAsia" w:eastAsia="方正仿宋_GBK" w:cs="方正仿宋_GBK"/>
          <w:sz w:val="32"/>
          <w:szCs w:val="32"/>
        </w:rPr>
        <w:t>延续并深化“保护更新老城、开发建设新城”总体格局，确立“两高、一融”，即“高品质保护更新老城、高质量开发建设新城、老城与新城融合共生”的秦淮“十四五”发展总体格局。</w:t>
      </w:r>
    </w:p>
    <w:p w14:paraId="2D35D4C6">
      <w:pPr>
        <w:spacing w:line="590" w:lineRule="exact"/>
        <w:ind w:firstLine="629"/>
        <w:rPr>
          <w:rFonts w:eastAsia="方正仿宋_GBK"/>
          <w:sz w:val="32"/>
          <w:szCs w:val="32"/>
        </w:rPr>
      </w:pPr>
      <w:r>
        <w:rPr>
          <w:rFonts w:hint="eastAsia" w:eastAsia="方正仿宋_GBK" w:cs="方正仿宋_GBK"/>
          <w:sz w:val="32"/>
          <w:szCs w:val="32"/>
        </w:rPr>
        <w:t>“高品质保护更新老城”：把老城打造成为承载南京千年历史传承、展示城市文化记忆、凸显区域鲜明特色的“特而精、最南京”传统窗口。</w:t>
      </w:r>
    </w:p>
    <w:p w14:paraId="21746EF0">
      <w:pPr>
        <w:spacing w:line="590" w:lineRule="exact"/>
        <w:ind w:firstLine="629"/>
        <w:rPr>
          <w:rFonts w:eastAsia="方正仿宋_GBK"/>
          <w:sz w:val="32"/>
          <w:szCs w:val="32"/>
        </w:rPr>
      </w:pPr>
      <w:r>
        <w:rPr>
          <w:rFonts w:eastAsia="方正仿宋_GBK"/>
          <w:sz w:val="32"/>
          <w:szCs w:val="32"/>
        </w:rPr>
        <w:t>——</w:t>
      </w:r>
      <w:r>
        <w:rPr>
          <w:rFonts w:hint="eastAsia" w:eastAsia="方正仿宋_GBK" w:cs="方正仿宋_GBK"/>
          <w:sz w:val="32"/>
          <w:szCs w:val="32"/>
        </w:rPr>
        <w:t>古韵今貌交融，凸显老城风貌。以夫子庙核心区、新街口核心区优化提升、特色聚焦为引领，以中山南路、太平南路双线资源挖掘、面貌提升、风貌打造为纽带，凸显历史人文底蕴，激发现代都市活力，打造、传统现代交辉的老城“一体两翼”特色风貌架构。以小西湖、西五华里、门西数字街区、石榴新村等在建、新建项目为示范，完善城市功能，协同产业布局，提升业态高端层次和精致水平，形成多点聚合、有机串联的“一片一貌一品”地块联动体系。激发饮虹园、双塘园、荷花塘等储备地块潜能，成为保护更新模式创新策源地和推广地，建设系统保护梯队。通过文化赋能、产业植入，打造古韵今貌交融，让人过目不忘、流连忘返的“腔调”老城风貌和人文风雅地标。</w:t>
      </w:r>
    </w:p>
    <w:p w14:paraId="170BF3D3">
      <w:pPr>
        <w:spacing w:line="590" w:lineRule="exact"/>
        <w:ind w:firstLine="629"/>
        <w:rPr>
          <w:rFonts w:eastAsia="方正仿宋_GBK"/>
          <w:sz w:val="32"/>
          <w:szCs w:val="32"/>
        </w:rPr>
      </w:pPr>
      <w:r>
        <w:rPr>
          <w:rFonts w:eastAsia="方正仿宋_GBK"/>
          <w:sz w:val="32"/>
          <w:szCs w:val="32"/>
        </w:rPr>
        <w:t>——</w:t>
      </w:r>
      <w:r>
        <w:rPr>
          <w:rFonts w:hint="eastAsia" w:eastAsia="方正仿宋_GBK" w:cs="方正仿宋_GBK"/>
          <w:sz w:val="32"/>
          <w:szCs w:val="32"/>
        </w:rPr>
        <w:t>聚焦时代脉络，彰显文化传承。深入研究挖掘秦淮丰富的历史文化资源，形成秦淮文化展示、推广、传承的系统框架，确立富有生机活力的文化内核。梳理新街口现代时尚文化、太平南路民国文化、门外越城吴越文化等不同时代的秦淮老城文化脉络，突出展现最富秦淮特质、最富历史渊源的文化风貌关键节点。挖掘夫子庙核心区儒学科举文化、秦淮河曲艺剧场文化、南捕厅</w:t>
      </w:r>
      <w:r>
        <w:rPr>
          <w:rFonts w:eastAsia="方正仿宋_GBK"/>
          <w:sz w:val="32"/>
          <w:szCs w:val="32"/>
        </w:rPr>
        <w:t>—</w:t>
      </w:r>
      <w:r>
        <w:rPr>
          <w:rFonts w:hint="eastAsia" w:eastAsia="方正仿宋_GBK" w:cs="方正仿宋_GBK"/>
          <w:sz w:val="32"/>
          <w:szCs w:val="32"/>
        </w:rPr>
        <w:t>朝天宫民俗艺术文化、报恩寺佛教报恩文化等不同类型的文化内涵，展现主题文化特征。推进物质和非物质文化遗产活化利用，在科学保护的基础上，唤醒市场价值，打造民族品牌，形成文化传承的标识载体和能量核心，成为代表和展示国家文化精髓、精粹的人文名片。</w:t>
      </w:r>
    </w:p>
    <w:p w14:paraId="555891F9">
      <w:pPr>
        <w:spacing w:line="590" w:lineRule="exact"/>
        <w:ind w:firstLine="629"/>
        <w:rPr>
          <w:rFonts w:eastAsia="方正仿宋_GBK"/>
          <w:sz w:val="32"/>
          <w:szCs w:val="32"/>
        </w:rPr>
      </w:pPr>
      <w:r>
        <w:rPr>
          <w:rFonts w:eastAsia="方正仿宋_GBK"/>
          <w:sz w:val="32"/>
          <w:szCs w:val="32"/>
        </w:rPr>
        <w:t>——</w:t>
      </w:r>
      <w:r>
        <w:rPr>
          <w:rFonts w:hint="eastAsia" w:eastAsia="方正仿宋_GBK" w:cs="方正仿宋_GBK"/>
          <w:sz w:val="32"/>
          <w:szCs w:val="32"/>
        </w:rPr>
        <w:t>传统新兴共促，提升产业能级。推进全域文旅商融合，促进老城南板块传统文化旅游产业和时尚消费、精品文创等特色商贸业、现代服务业深度融合，促进新街口板块传统商贸业和旅游休闲、文博节展等文化旅游业深度融合，串联老城全域一体化的文化、消费、旅游线路，植入智慧旅游、数字消费、</w:t>
      </w:r>
      <w:r>
        <w:rPr>
          <w:rFonts w:eastAsia="方正仿宋_GBK"/>
          <w:sz w:val="32"/>
          <w:szCs w:val="32"/>
        </w:rPr>
        <w:t>VR</w:t>
      </w:r>
      <w:r>
        <w:rPr>
          <w:rFonts w:hint="eastAsia" w:eastAsia="方正仿宋_GBK" w:cs="方正仿宋_GBK"/>
          <w:sz w:val="32"/>
          <w:szCs w:val="32"/>
        </w:rPr>
        <w:t>智能场景体验等智能化、数字化、体验化形态，提升企业、品牌、业态、观感的国际化、高端化水平，打造南京主城核心的全域旅游目的地和消费中心城区。提升特色金融、商务产业影响力，促进新街口核心区重大载体建设和楼宇品质化改造，加快集聚具有国际、国内影响力的企业总部和功能性业务总部，发展消费金融、金融租赁等新兴金融业和高端商务服务业，形成较为完善强韧的金融、商务服务产业体系。激发秦淮硅巷创新活力，依托老城片区高校、科研院所和产业园区集中，公共设施配套齐全等基础优势，对接科创型企业对城市功能、交流空间等独特要求，布局车联网、智能交通、智慧城市、智能生活等创新性产业细分方向，助推科技创新回归老城。通过跨界融合、特色创新，构建与空间呼应契合、发挥基础优势、体现品质品位、激发活力新貌的老城现代化产业体系。</w:t>
      </w:r>
    </w:p>
    <w:p w14:paraId="754B20B6">
      <w:pPr>
        <w:spacing w:line="590" w:lineRule="exact"/>
        <w:ind w:firstLine="629"/>
        <w:rPr>
          <w:rFonts w:eastAsia="方正仿宋_GBK"/>
          <w:sz w:val="32"/>
          <w:szCs w:val="32"/>
        </w:rPr>
      </w:pPr>
      <w:r>
        <w:rPr>
          <w:rFonts w:hint="eastAsia" w:eastAsia="方正仿宋_GBK" w:cs="方正仿宋_GBK"/>
          <w:sz w:val="32"/>
          <w:szCs w:val="32"/>
        </w:rPr>
        <w:t>“高质量开发建设新城”：把新城打造成为展现城市未来发展形态、单位面积产出高、精细化管理程度高的“特而精、最南京”现代标杆。</w:t>
      </w:r>
    </w:p>
    <w:p w14:paraId="2F63233A">
      <w:pPr>
        <w:spacing w:line="590" w:lineRule="exact"/>
        <w:ind w:firstLine="629"/>
        <w:rPr>
          <w:rFonts w:eastAsia="方正仿宋_GBK"/>
          <w:sz w:val="32"/>
          <w:szCs w:val="32"/>
        </w:rPr>
      </w:pPr>
      <w:r>
        <w:rPr>
          <w:rFonts w:eastAsia="方正仿宋_GBK"/>
          <w:sz w:val="32"/>
          <w:szCs w:val="32"/>
        </w:rPr>
        <w:t>——</w:t>
      </w:r>
      <w:r>
        <w:rPr>
          <w:rFonts w:hint="eastAsia" w:eastAsia="方正仿宋_GBK" w:cs="方正仿宋_GBK"/>
          <w:sz w:val="32"/>
          <w:szCs w:val="32"/>
        </w:rPr>
        <w:t>高标准规划，勾勒城市格局。推进多规融合，对接国土空间规划，对照经济普查、人口普查基础数据，提前研究、落实经济、社会发展项目的空间支撑。对专项规划和城市设计加强统筹，对地下空间、公园绿地、能源系统、海绵城市、绿色建筑、地下管廊、建筑风貌管控、色彩导则等要点进行系统梳理，发挥数字规划设计管控平台支持作用，把规划要求系统集成到项目建设上，促进统筹协同。推进东部片区和南部新城建设规划衔接，深化与紫东片区总体规划的融入对接，在更大空间范围内推进新城片区规划的高标准、一体化。</w:t>
      </w:r>
    </w:p>
    <w:p w14:paraId="18C17D73">
      <w:pPr>
        <w:spacing w:line="590" w:lineRule="exact"/>
        <w:ind w:firstLine="629"/>
        <w:rPr>
          <w:rFonts w:eastAsia="方正仿宋_GBK"/>
          <w:sz w:val="32"/>
          <w:szCs w:val="32"/>
        </w:rPr>
      </w:pPr>
      <w:r>
        <w:rPr>
          <w:rFonts w:eastAsia="方正仿宋_GBK"/>
          <w:sz w:val="32"/>
          <w:szCs w:val="32"/>
        </w:rPr>
        <w:t>——</w:t>
      </w:r>
      <w:r>
        <w:rPr>
          <w:rFonts w:hint="eastAsia" w:eastAsia="方正仿宋_GBK" w:cs="方正仿宋_GBK"/>
          <w:sz w:val="32"/>
          <w:szCs w:val="32"/>
        </w:rPr>
        <w:t>高水平建设，推进构想落地。进一步完善城市建设格局，提升南部新城产城融合形态和功能。优化深化</w:t>
      </w:r>
      <w:r>
        <w:rPr>
          <w:rFonts w:eastAsia="方正仿宋_GBK"/>
          <w:sz w:val="32"/>
          <w:szCs w:val="32"/>
        </w:rPr>
        <w:t>EPC</w:t>
      </w:r>
      <w:r>
        <w:rPr>
          <w:rFonts w:hint="eastAsia" w:eastAsia="方正仿宋_GBK" w:cs="方正仿宋_GBK"/>
          <w:sz w:val="32"/>
          <w:szCs w:val="32"/>
        </w:rPr>
        <w:t>总承包模式使用，完善投融资体系，引入“城市合伙人”等创新方式，保障新城大规模开发建设的顺利高效推进。推进智慧城市建管，拉开智慧城市建设管理框架，布局智慧城市物联网、智慧规划系统、智慧建造管理系统等。高规格建设新城产业载体，对照国内外知名企业对入驻载体的需求，精准建设新载体、改造旧载体，有效提升新城片区的商务、商贸、科创等产业空间的定制化水平。提高公共服务设施的配建水平，适度超前、高标准、国际化配建公共服务设施，促进优质教育、医疗、养老资源多点聚合，精准布局并加快建设公共服务配套项目建设，构建尺度宜人、开放相容、邻里和谐的新城社区，提高城市活力品质，增进邻里互动交流。</w:t>
      </w:r>
    </w:p>
    <w:p w14:paraId="74744979">
      <w:pPr>
        <w:spacing w:line="590" w:lineRule="exact"/>
        <w:ind w:firstLine="629"/>
        <w:rPr>
          <w:rFonts w:eastAsia="方正仿宋_GBK"/>
          <w:sz w:val="32"/>
          <w:szCs w:val="32"/>
        </w:rPr>
      </w:pPr>
      <w:r>
        <w:rPr>
          <w:rFonts w:eastAsia="方正仿宋_GBK"/>
          <w:sz w:val="32"/>
          <w:szCs w:val="32"/>
        </w:rPr>
        <w:t>——</w:t>
      </w:r>
      <w:r>
        <w:rPr>
          <w:rFonts w:hint="eastAsia" w:eastAsia="方正仿宋_GBK" w:cs="方正仿宋_GBK"/>
          <w:sz w:val="32"/>
          <w:szCs w:val="32"/>
        </w:rPr>
        <w:t>高层级聚企，谋定产业形态。突出新城不同板块的差异化产业定位，实施高规格招商推介和地块推广，促进定向精准招商，东部高新片区主推科技创新型产业，南部新城片区主引总部形态，重点引进业内头部企业，培育本土高成长性企业，形成枢纽型超级总部经济集聚区。促进产业跨界融合，依托机场跑道城市文化客厅打造，完善周边高端综合体、星级酒店等服务配套功能，促进文旅商融合发展；依托外秦淮河水岸空间带建设，布局数字经济、科技创新、文艺展演、大健康等高能级生产性服务业和高品质生活性服务业，形成现代服务业集聚带。通过提前谋划、产城融合，构建展现未来方向、体现现代水准、凸显产出效益、丰富文化内涵的新城产业体系。</w:t>
      </w:r>
    </w:p>
    <w:p w14:paraId="19CC79F9">
      <w:pPr>
        <w:spacing w:line="590" w:lineRule="exact"/>
        <w:ind w:firstLine="629"/>
        <w:rPr>
          <w:rFonts w:eastAsia="方正仿宋_GBK"/>
          <w:sz w:val="32"/>
          <w:szCs w:val="32"/>
        </w:rPr>
      </w:pPr>
      <w:r>
        <w:rPr>
          <w:rFonts w:hint="eastAsia" w:eastAsia="方正仿宋_GBK" w:cs="方正仿宋_GBK"/>
          <w:sz w:val="32"/>
          <w:szCs w:val="32"/>
        </w:rPr>
        <w:t>“老城与新城融合共生”：依托内外秦淮水系的串联延展，设计打造水系沿线产业载体、城市空间、生态廊道，赋予老城、新城联动的经济、社会、生态发展功能，形成融合共生的独特纽带，打造“古韵新貌交融、特色活力互动”的城市共生体，展现秦淮“因水而生，以水而名，依水而荣”的包容特质和灵动气质，逐步形成老城、新城城市共建、资源共享、模式共赢的联动格局。</w:t>
      </w:r>
    </w:p>
    <w:p w14:paraId="516FA644">
      <w:pPr>
        <w:spacing w:line="590" w:lineRule="exact"/>
        <w:ind w:firstLine="629"/>
        <w:rPr>
          <w:rFonts w:eastAsia="方正仿宋_GBK"/>
          <w:sz w:val="32"/>
          <w:szCs w:val="32"/>
        </w:rPr>
      </w:pPr>
      <w:r>
        <w:rPr>
          <w:rFonts w:eastAsia="方正仿宋_GBK"/>
          <w:sz w:val="32"/>
          <w:szCs w:val="32"/>
        </w:rPr>
        <w:t>——</w:t>
      </w:r>
      <w:r>
        <w:rPr>
          <w:rFonts w:hint="eastAsia" w:eastAsia="方正仿宋_GBK" w:cs="方正仿宋_GBK"/>
          <w:sz w:val="32"/>
          <w:szCs w:val="32"/>
        </w:rPr>
        <w:t>空间形态融合贯通。水系相融，打造沿秦淮河产城融合水岸示范带，其中，沿内秦淮河段落聚焦文旅商产业融合和体验内涵升级，沿外秦淮河段落聚焦科技创新创业与滨水生态空间打造的互动互融，凸显秦淮独有的水形态、水文化、水特色，打造老城、新城融合共生的特色空间载体。路网相通，加速推进老城、新城路网体系建设，合理规划并适度加密建设东部片区、南部新城支路路网，以及跨外秦淮河桥梁，推进秦淮老城、新城间地面路网和有轨电车、地铁等轨道交通的有机衔接，规划建设并提供多样性交通选择，提升通达性。</w:t>
      </w:r>
    </w:p>
    <w:p w14:paraId="4EC7B4B6">
      <w:pPr>
        <w:spacing w:line="590" w:lineRule="exact"/>
        <w:ind w:firstLine="629"/>
        <w:rPr>
          <w:rFonts w:eastAsia="方正仿宋_GBK"/>
          <w:sz w:val="32"/>
          <w:szCs w:val="32"/>
        </w:rPr>
      </w:pPr>
      <w:r>
        <w:rPr>
          <w:rFonts w:eastAsia="方正仿宋_GBK"/>
          <w:sz w:val="32"/>
          <w:szCs w:val="32"/>
        </w:rPr>
        <w:t>——</w:t>
      </w:r>
      <w:r>
        <w:rPr>
          <w:rFonts w:hint="eastAsia" w:eastAsia="方正仿宋_GBK" w:cs="方正仿宋_GBK"/>
          <w:sz w:val="32"/>
          <w:szCs w:val="32"/>
        </w:rPr>
        <w:t>产业布局互补共促。依托老城、新城不同的产业定位，提前谋划主导产业和未来产业在不同区域的布局重点，一体化推进周边配套功能和产业链布局，形成结构功能互补的良性循环。增强老城、新城在企业、项目引进培育上的协同作战和资源共建共享，畅通资源、数据、信息资源沟通渠道，全域范围统筹配置空间载体和服务功能，提高产业、人才资源在老城、新城空间的匹配程度。</w:t>
      </w:r>
    </w:p>
    <w:p w14:paraId="482DE505">
      <w:pPr>
        <w:spacing w:line="590" w:lineRule="exact"/>
        <w:ind w:firstLine="629"/>
        <w:rPr>
          <w:rFonts w:eastAsia="仿宋"/>
          <w:sz w:val="32"/>
          <w:szCs w:val="32"/>
        </w:rPr>
      </w:pPr>
      <w:r>
        <w:rPr>
          <w:rFonts w:eastAsia="方正仿宋_GBK"/>
          <w:sz w:val="32"/>
          <w:szCs w:val="32"/>
        </w:rPr>
        <w:t>——</w:t>
      </w:r>
      <w:r>
        <w:rPr>
          <w:rFonts w:hint="eastAsia" w:eastAsia="方正仿宋_GBK" w:cs="方正仿宋_GBK"/>
          <w:sz w:val="32"/>
          <w:szCs w:val="32"/>
        </w:rPr>
        <w:t>服务管理一体推进。推进老城、新城管理体制的高位协同，实现联动奖惩和一体化考评，提升全区一盘棋的综合效率。进行全域化的智慧新城建设和大数据系统支撑，协同搭建好老城更新的未来框架，加速智慧城市建设一体化推进。创新合作模式和管理方式，科学布局教育、医疗、养老、文体等公共服务设施，搭建线上线下的互联互通网络，促进未来城市建管、政务服务、社会治理等全域统筹管理。</w:t>
      </w:r>
    </w:p>
    <w:bookmarkEnd w:id="46"/>
    <w:bookmarkEnd w:id="47"/>
    <w:bookmarkEnd w:id="48"/>
    <w:bookmarkEnd w:id="49"/>
    <w:p w14:paraId="4EB366B1">
      <w:pPr>
        <w:pStyle w:val="5"/>
        <w:spacing w:after="200"/>
        <w:jc w:val="center"/>
        <w:rPr>
          <w:rFonts w:ascii="方正楷体_GBK" w:hAnsi="方正楷体_GBK" w:eastAsia="方正楷体_GBK"/>
          <w:b w:val="0"/>
          <w:bCs w:val="0"/>
        </w:rPr>
      </w:pPr>
      <w:bookmarkStart w:id="52" w:name="_Toc60466208"/>
      <w:bookmarkStart w:id="53" w:name="_Toc58838390"/>
      <w:r>
        <w:rPr>
          <w:rFonts w:hint="eastAsia" w:ascii="方正楷体_GBK" w:hAnsi="方正楷体_GBK" w:eastAsia="方正楷体_GBK" w:cs="方正楷体_GBK"/>
          <w:b w:val="0"/>
          <w:bCs w:val="0"/>
        </w:rPr>
        <w:t>第三节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发展定位</w:t>
      </w:r>
      <w:bookmarkEnd w:id="52"/>
      <w:bookmarkEnd w:id="53"/>
    </w:p>
    <w:p w14:paraId="11B423EF">
      <w:pPr>
        <w:spacing w:line="590" w:lineRule="exact"/>
        <w:ind w:firstLine="629"/>
        <w:rPr>
          <w:rFonts w:eastAsia="方正仿宋_GBK"/>
          <w:sz w:val="32"/>
          <w:szCs w:val="32"/>
        </w:rPr>
      </w:pPr>
      <w:r>
        <w:rPr>
          <w:rFonts w:hint="eastAsia" w:eastAsia="方正仿宋_GBK" w:cs="方正仿宋_GBK"/>
          <w:sz w:val="32"/>
          <w:szCs w:val="32"/>
        </w:rPr>
        <w:t>基于秦淮现有资源禀赋、发展基础、比较优势，保持延续“三中心一高地”产业发展定位和“特而精、最南京”目标追求，融入社会发展、文化彰显、活力激发、民生改善等多维度愿景，提出秦淮未来五年的发展定位为：</w:t>
      </w:r>
    </w:p>
    <w:p w14:paraId="05150AEA">
      <w:pPr>
        <w:spacing w:line="590" w:lineRule="exact"/>
        <w:ind w:firstLine="629"/>
        <w:rPr>
          <w:rFonts w:eastAsia="方正仿宋_GBK"/>
          <w:sz w:val="32"/>
          <w:szCs w:val="32"/>
        </w:rPr>
      </w:pPr>
      <w:r>
        <w:rPr>
          <w:rFonts w:hint="eastAsia" w:eastAsia="方正仿宋_GBK" w:cs="方正仿宋_GBK"/>
          <w:sz w:val="32"/>
          <w:szCs w:val="32"/>
        </w:rPr>
        <w:t>以创新驱动为根本动力的高能级创新名城示范区。依托白下高新、南部新城、秦淮硅巷等创新策源地、超级总部集聚区资源优势，坚持以高能级生产性服务业布局为导向，以高品质生活性服务业发展为重心，加速推进科技创新突破、未来产业布局、智慧城市建设、营商环境打造，聚合高校、科研院所、高科技企业、军队科研力量等多元化创新活力。打造“业者有拓土动力，居者有生活热力，企者有创新活力，学者有研究聚力，政者有改革魄力”的城市全域创新模式引领标杆。</w:t>
      </w:r>
    </w:p>
    <w:p w14:paraId="0BDF3AFD">
      <w:pPr>
        <w:spacing w:line="590" w:lineRule="exact"/>
        <w:ind w:firstLine="629"/>
        <w:rPr>
          <w:rFonts w:eastAsia="方正仿宋_GBK"/>
          <w:sz w:val="32"/>
          <w:szCs w:val="32"/>
        </w:rPr>
      </w:pPr>
      <w:r>
        <w:rPr>
          <w:rFonts w:hint="eastAsia" w:eastAsia="方正仿宋_GBK" w:cs="方正仿宋_GBK"/>
          <w:sz w:val="32"/>
          <w:szCs w:val="32"/>
        </w:rPr>
        <w:t>以人民为中心为根本立场的高效能现代化治理先行区。提升居民对幸福安全的切身感知度，让改革发展成果更多、更公平、更高质量地惠及区域百姓。公共服务设施均衡布局，托底保障规范有效，法治环境公开透明，公共安全切实保障，治理效能显著提升，把百姓对幸福生活的愿望和需求有机融入到经济社会发展的总体目标和实现路径中。打造“安全有保证、法治有守护、邻里有互动、服务有温度、幸福更持续”的特大城市中心城区现代化治理示范样本。</w:t>
      </w:r>
    </w:p>
    <w:p w14:paraId="57055640">
      <w:pPr>
        <w:spacing w:line="590" w:lineRule="exact"/>
        <w:ind w:firstLine="629"/>
        <w:rPr>
          <w:rFonts w:eastAsia="方正仿宋_GBK"/>
          <w:sz w:val="32"/>
          <w:szCs w:val="32"/>
        </w:rPr>
      </w:pPr>
      <w:r>
        <w:rPr>
          <w:rFonts w:hint="eastAsia" w:eastAsia="方正仿宋_GBK" w:cs="方正仿宋_GBK"/>
          <w:sz w:val="32"/>
          <w:szCs w:val="32"/>
        </w:rPr>
        <w:t>以生态宜居为根本底色的最文化美丽古都核心区。依托秦淮深厚的人文积淀、历史传承、资源优势，把文化传承融入生态宜居城市建设，提升人文历史脉络梳理的连贯性、系统性、标志性，提升城市人居环境改善的内涵度、长效性和精细化水平，凸显蓝绿底色，注入文化生机，展现美丽韵致。打造“最南京”的历史人文传承标杆和展示窗口，“最中国”的核心价值观传承地，“最世界”的风雅文化地标。</w:t>
      </w:r>
    </w:p>
    <w:p w14:paraId="037FB6D0">
      <w:pPr>
        <w:spacing w:line="590" w:lineRule="exact"/>
        <w:ind w:firstLine="629"/>
        <w:rPr>
          <w:rFonts w:eastAsia="方正仿宋_GBK"/>
          <w:sz w:val="32"/>
          <w:szCs w:val="32"/>
        </w:rPr>
      </w:pPr>
      <w:r>
        <w:rPr>
          <w:rFonts w:hint="eastAsia" w:eastAsia="方正仿宋_GBK" w:cs="方正仿宋_GBK"/>
          <w:sz w:val="32"/>
          <w:szCs w:val="32"/>
        </w:rPr>
        <w:t>以文旅商融合为根本基因的最南京综合消费集聚区。依托新街口、老城南、南部新城等消费活力集中地、未来消费潜能释放地资源优势，擦亮新街口“中华第一商圈”金字招牌，加速推进门东、门西、门外消费联动，培育南部新城消费新增长级，构筑多层次和全龄覆盖的新消费体系，建设区域综合消费中心区。打造“文旅商融合、夜经济繁荣、品牌力彰显、消费力提升”的综合消费集聚区。</w:t>
      </w:r>
    </w:p>
    <w:p w14:paraId="2DFE0EC1">
      <w:pPr>
        <w:pStyle w:val="5"/>
        <w:spacing w:after="200"/>
        <w:jc w:val="center"/>
        <w:rPr>
          <w:rFonts w:eastAsia="华文中宋"/>
          <w:b w:val="0"/>
          <w:bCs w:val="0"/>
        </w:rPr>
      </w:pPr>
      <w:bookmarkStart w:id="54" w:name="_Toc60466209"/>
      <w:r>
        <w:rPr>
          <w:rFonts w:hint="eastAsia" w:ascii="方正楷体_GBK" w:hAnsi="方正楷体_GBK" w:eastAsia="方正楷体_GBK" w:cs="方正楷体_GBK"/>
          <w:b w:val="0"/>
          <w:bCs w:val="0"/>
        </w:rPr>
        <w:t>第四节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二〇三五年远景目标</w:t>
      </w:r>
      <w:bookmarkEnd w:id="51"/>
      <w:bookmarkEnd w:id="54"/>
    </w:p>
    <w:p w14:paraId="4B1BF07A">
      <w:pPr>
        <w:spacing w:line="590" w:lineRule="exact"/>
        <w:ind w:firstLine="629"/>
        <w:rPr>
          <w:rFonts w:eastAsia="方正仿宋_GBK"/>
          <w:sz w:val="32"/>
          <w:szCs w:val="32"/>
        </w:rPr>
      </w:pPr>
      <w:r>
        <w:rPr>
          <w:rFonts w:hint="eastAsia" w:eastAsia="方正仿宋_GBK" w:cs="方正仿宋_GBK"/>
          <w:sz w:val="32"/>
          <w:szCs w:val="32"/>
        </w:rPr>
        <w:t>落实党的十九大提出的分两步走建成社会主义现代化强国的战略安排，根据省、市二〇三五年目标愿景，依托区域优势和发展实际，提出二〇三五年秦淮经济社会发展远景目标是，建设成为全面体现新发展理念的中国特色社会主义示范城区：经济实力和创新实力大幅跃升，经济总量、居民收入和人均地区生产总值在</w:t>
      </w:r>
      <w:r>
        <w:rPr>
          <w:rFonts w:eastAsia="方正仿宋_GBK"/>
          <w:sz w:val="32"/>
          <w:szCs w:val="32"/>
        </w:rPr>
        <w:t>2020</w:t>
      </w:r>
      <w:r>
        <w:rPr>
          <w:rFonts w:hint="eastAsia" w:eastAsia="方正仿宋_GBK" w:cs="方正仿宋_GBK"/>
          <w:sz w:val="32"/>
          <w:szCs w:val="32"/>
        </w:rPr>
        <w:t>年基础上实现翻番，基本建成现代化经济体系，形成更多核心技术成果，推出更多示范应用场景；高品质生活广泛享有，基本建成文化强区、教育强区、人才强区，人的全面发展、全体人民共同富裕取得跨越性进步；区域治理体系和治理能力现代化基本实现、走在前列，人民平等参与、平等发展权利得到充分保障，法治秦淮、平安秦淮建设水平迈上新台阶，全面建成安全韧性城区；历史文化优势更加彰显，重大文旅项目陆续建成，影响力和美誉度显著增强；城市空间布局、产业布局、公共服务布局进一步优化，绿色生产生活方式蔚然成风，美丽秦淮建设目标基本实现；创新创业保障体系更加健全，初步展现“强富美高”新秦淮的现代化图景。</w:t>
      </w:r>
    </w:p>
    <w:p w14:paraId="567CF378">
      <w:pPr>
        <w:pStyle w:val="5"/>
        <w:spacing w:after="200"/>
        <w:jc w:val="center"/>
        <w:rPr>
          <w:rFonts w:ascii="方正楷体_GBK" w:hAnsi="方正楷体_GBK" w:eastAsia="方正楷体_GBK"/>
          <w:b w:val="0"/>
          <w:bCs w:val="0"/>
        </w:rPr>
      </w:pPr>
      <w:bookmarkStart w:id="55" w:name="_Toc60466210"/>
      <w:r>
        <w:rPr>
          <w:rFonts w:hint="eastAsia" w:ascii="方正楷体_GBK" w:hAnsi="方正楷体_GBK" w:eastAsia="方正楷体_GBK" w:cs="方正楷体_GBK"/>
          <w:b w:val="0"/>
          <w:bCs w:val="0"/>
        </w:rPr>
        <w:t>第五节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“十四五”经济社会发展目标</w:t>
      </w:r>
      <w:bookmarkEnd w:id="55"/>
    </w:p>
    <w:p w14:paraId="43816B6B">
      <w:pPr>
        <w:spacing w:line="590" w:lineRule="exact"/>
        <w:ind w:firstLine="629"/>
        <w:rPr>
          <w:rFonts w:eastAsia="方正仿宋_GBK"/>
          <w:sz w:val="32"/>
          <w:szCs w:val="32"/>
        </w:rPr>
      </w:pPr>
      <w:r>
        <w:rPr>
          <w:rFonts w:hint="eastAsia" w:eastAsia="方正仿宋_GBK" w:cs="方正仿宋_GBK"/>
          <w:sz w:val="32"/>
          <w:szCs w:val="32"/>
        </w:rPr>
        <w:t>按照二〇三五年远景目标，综合考虑国内外发展环境、城市发展趋势和秦淮自身发展条件，坚持目标导向和问题导向相结合，坚持守正和创新相统一，今后五年秦淮经济社会发展的目标是：坚持“创新驱动”这个根本动力，打造高能级的创新名城示范区；站稳“以人民为中心”这个根本立场，打造高效能的现代化治理先行区；点亮“生态宜居”这个根本底色，打造最文化的美丽古都核心区；立足“文旅商融合”这个根本基因，打造最南京的综合消费集聚区。</w:t>
      </w:r>
    </w:p>
    <w:p w14:paraId="04A33B49">
      <w:pPr>
        <w:spacing w:line="590" w:lineRule="exact"/>
        <w:ind w:firstLine="629"/>
        <w:rPr>
          <w:rFonts w:eastAsia="方正仿宋_GBK"/>
          <w:sz w:val="32"/>
          <w:szCs w:val="32"/>
        </w:rPr>
      </w:pPr>
      <w:r>
        <w:rPr>
          <w:rFonts w:hint="eastAsia" w:eastAsia="方正仿宋_GBK" w:cs="方正仿宋_GBK"/>
          <w:sz w:val="32"/>
          <w:szCs w:val="32"/>
        </w:rPr>
        <w:t>科技创新能力取得本质提升。深入实施创新驱动发展战略，依靠创新引领经济社会高质量发展。白下高新区“一区多园”发展模式基本完善，重点指标实现“四倍增四提升”</w:t>
      </w:r>
      <w:r>
        <w:rPr>
          <w:rFonts w:eastAsia="方正仿宋_GBK"/>
          <w:sz w:val="32"/>
          <w:szCs w:val="32"/>
          <w:vertAlign w:val="superscript"/>
        </w:rPr>
        <w:footnoteReference w:id="1"/>
      </w:r>
      <w:r>
        <w:rPr>
          <w:rFonts w:hint="eastAsia" w:eastAsia="方正仿宋_GBK" w:cs="方正仿宋_GBK"/>
          <w:sz w:val="32"/>
          <w:szCs w:val="32"/>
        </w:rPr>
        <w:t>，对全区经济贡献度达</w:t>
      </w:r>
      <w:r>
        <w:rPr>
          <w:rFonts w:eastAsia="方正仿宋_GBK"/>
          <w:sz w:val="32"/>
          <w:szCs w:val="32"/>
        </w:rPr>
        <w:t>35%</w:t>
      </w:r>
      <w:r>
        <w:rPr>
          <w:rFonts w:hint="eastAsia" w:eastAsia="方正仿宋_GBK" w:cs="方正仿宋_GBK"/>
          <w:sz w:val="32"/>
          <w:szCs w:val="32"/>
        </w:rPr>
        <w:t>以上，独角兽、瞪羚企业数量位居主城前列。建成南航秦淮创新湾区，争取国家重点实验室、重点工程中心布局，新型研发机构发展质量进入全市第一方阵，高新技术企业超</w:t>
      </w:r>
      <w:r>
        <w:rPr>
          <w:rFonts w:eastAsia="方正仿宋_GBK"/>
          <w:sz w:val="32"/>
          <w:szCs w:val="32"/>
        </w:rPr>
        <w:t>1300</w:t>
      </w:r>
      <w:r>
        <w:rPr>
          <w:rFonts w:hint="eastAsia" w:eastAsia="方正仿宋_GBK" w:cs="方正仿宋_GBK"/>
          <w:sz w:val="32"/>
          <w:szCs w:val="32"/>
        </w:rPr>
        <w:t>家，研发经费投入占比超</w:t>
      </w:r>
      <w:r>
        <w:rPr>
          <w:rFonts w:eastAsia="方正仿宋_GBK"/>
          <w:sz w:val="32"/>
          <w:szCs w:val="32"/>
        </w:rPr>
        <w:t>4%</w:t>
      </w:r>
      <w:r>
        <w:rPr>
          <w:rFonts w:hint="eastAsia" w:eastAsia="方正仿宋_GBK" w:cs="方正仿宋_GBK"/>
          <w:sz w:val="32"/>
          <w:szCs w:val="32"/>
        </w:rPr>
        <w:t>，初步建成省内一流的车联网发展高地、大健康产业发展高地、高水平创新型城区，在创新企业和人才集聚上走在前列。</w:t>
      </w:r>
    </w:p>
    <w:p w14:paraId="4AEB770C">
      <w:pPr>
        <w:spacing w:line="590" w:lineRule="exact"/>
        <w:ind w:firstLine="629"/>
        <w:rPr>
          <w:rFonts w:eastAsia="方正仿宋_GBK"/>
          <w:sz w:val="32"/>
          <w:szCs w:val="32"/>
        </w:rPr>
      </w:pPr>
      <w:r>
        <w:rPr>
          <w:rFonts w:hint="eastAsia" w:eastAsia="方正仿宋_GBK" w:cs="方正仿宋_GBK"/>
          <w:sz w:val="32"/>
          <w:szCs w:val="32"/>
        </w:rPr>
        <w:t>经济高质量发展迈出更大步伐。在质量效益明显提升基础上实现经济持续较快发展，全区经济总量突破</w:t>
      </w:r>
      <w:r>
        <w:rPr>
          <w:rFonts w:eastAsia="方正仿宋_GBK"/>
          <w:sz w:val="32"/>
          <w:szCs w:val="32"/>
        </w:rPr>
        <w:t>1700</w:t>
      </w:r>
      <w:r>
        <w:rPr>
          <w:rFonts w:hint="eastAsia" w:eastAsia="方正仿宋_GBK" w:cs="方正仿宋_GBK"/>
          <w:sz w:val="32"/>
          <w:szCs w:val="32"/>
        </w:rPr>
        <w:t>亿元，人均</w:t>
      </w:r>
      <w:r>
        <w:rPr>
          <w:rFonts w:eastAsia="方正仿宋_GBK"/>
          <w:sz w:val="32"/>
          <w:szCs w:val="32"/>
        </w:rPr>
        <w:t>GDP</w:t>
      </w:r>
      <w:r>
        <w:rPr>
          <w:rFonts w:hint="eastAsia" w:eastAsia="方正仿宋_GBK" w:cs="方正仿宋_GBK"/>
          <w:sz w:val="32"/>
          <w:szCs w:val="32"/>
        </w:rPr>
        <w:t>突破</w:t>
      </w:r>
      <w:r>
        <w:rPr>
          <w:rFonts w:eastAsia="方正仿宋_GBK"/>
          <w:sz w:val="32"/>
          <w:szCs w:val="32"/>
        </w:rPr>
        <w:t>3</w:t>
      </w:r>
      <w:r>
        <w:rPr>
          <w:rFonts w:hint="eastAsia" w:eastAsia="方正仿宋_GBK" w:cs="方正仿宋_GBK"/>
          <w:sz w:val="32"/>
          <w:szCs w:val="32"/>
        </w:rPr>
        <w:t>万美元，高新技术产业产值占规上工业产值比重达到</w:t>
      </w:r>
      <w:r>
        <w:rPr>
          <w:rFonts w:eastAsia="方正仿宋_GBK"/>
          <w:sz w:val="32"/>
          <w:szCs w:val="32"/>
        </w:rPr>
        <w:t>55%</w:t>
      </w:r>
      <w:r>
        <w:rPr>
          <w:rFonts w:hint="eastAsia" w:eastAsia="方正仿宋_GBK" w:cs="方正仿宋_GBK"/>
          <w:sz w:val="32"/>
          <w:szCs w:val="32"/>
        </w:rPr>
        <w:t>左右，累计新增规模以上企业</w:t>
      </w:r>
      <w:r>
        <w:rPr>
          <w:rFonts w:eastAsia="方正仿宋_GBK"/>
          <w:sz w:val="32"/>
          <w:szCs w:val="32"/>
        </w:rPr>
        <w:t>2000</w:t>
      </w:r>
      <w:r>
        <w:rPr>
          <w:rFonts w:hint="eastAsia" w:eastAsia="方正仿宋_GBK" w:cs="方正仿宋_GBK"/>
          <w:sz w:val="32"/>
          <w:szCs w:val="32"/>
        </w:rPr>
        <w:t>家。南部新城超级总部基地初见规模，头部企业达超</w:t>
      </w:r>
      <w:r>
        <w:rPr>
          <w:rFonts w:eastAsia="方正仿宋_GBK"/>
          <w:sz w:val="32"/>
          <w:szCs w:val="32"/>
        </w:rPr>
        <w:t>40</w:t>
      </w:r>
      <w:r>
        <w:rPr>
          <w:rFonts w:hint="eastAsia" w:eastAsia="方正仿宋_GBK" w:cs="方正仿宋_GBK"/>
          <w:sz w:val="32"/>
          <w:szCs w:val="32"/>
        </w:rPr>
        <w:t>家。经济结构更加优化，产业基础高级化、现代化水平显著提升，科技创新、商务商贸、现代金融、文化旅游协同发展的现代产业体系初步建立。融入长三角一体化等国家战略取得新的成效，新老城发展协调性进一步增强，一体化发展形态基本形成，在现代化产业发展上走在前列。</w:t>
      </w:r>
    </w:p>
    <w:p w14:paraId="26C01336">
      <w:pPr>
        <w:spacing w:line="590" w:lineRule="exact"/>
        <w:ind w:firstLine="629"/>
        <w:rPr>
          <w:rFonts w:eastAsia="方正仿宋_GBK"/>
          <w:sz w:val="32"/>
          <w:szCs w:val="32"/>
        </w:rPr>
      </w:pPr>
      <w:r>
        <w:rPr>
          <w:rFonts w:hint="eastAsia" w:eastAsia="方正仿宋_GBK" w:cs="方正仿宋_GBK"/>
          <w:sz w:val="32"/>
          <w:szCs w:val="32"/>
        </w:rPr>
        <w:t>人民生活更有品质更加幸福。实现更加充分更高质量就业，居民人均可支配收入增速高于</w:t>
      </w:r>
      <w:r>
        <w:rPr>
          <w:rFonts w:eastAsia="方正仿宋_GBK"/>
          <w:sz w:val="32"/>
          <w:szCs w:val="32"/>
        </w:rPr>
        <w:t>GDP</w:t>
      </w:r>
      <w:r>
        <w:rPr>
          <w:rFonts w:hint="eastAsia" w:eastAsia="方正仿宋_GBK" w:cs="方正仿宋_GBK"/>
          <w:sz w:val="32"/>
          <w:szCs w:val="32"/>
        </w:rPr>
        <w:t>增速，中等收入群体比重明显提高，人均预期寿命超</w:t>
      </w:r>
      <w:r>
        <w:rPr>
          <w:rFonts w:eastAsia="方正仿宋_GBK"/>
          <w:sz w:val="32"/>
          <w:szCs w:val="32"/>
        </w:rPr>
        <w:t>80</w:t>
      </w:r>
      <w:r>
        <w:rPr>
          <w:rFonts w:hint="eastAsia" w:eastAsia="方正仿宋_GBK" w:cs="方正仿宋_GBK"/>
          <w:sz w:val="32"/>
          <w:szCs w:val="32"/>
        </w:rPr>
        <w:t>岁。高质量教育体系、健康秦淮基本建成。社会大局保持稳定，人民群众生命安全、身体健康、安居乐业切实得到保障。人民全生命周期需求普遍得到更高水平满足，覆盖全民的多层次社会保障体系更加完善。房地产市场平稳健康发展，老旧小区改造稳步推进，非成套房全面消除，保障性住房供给有效增加，在教育、医疗、养老、住房等公共服务高质量发展上走在前列。</w:t>
      </w:r>
    </w:p>
    <w:p w14:paraId="061212FF">
      <w:pPr>
        <w:spacing w:line="590" w:lineRule="exact"/>
        <w:ind w:firstLine="629"/>
        <w:rPr>
          <w:rFonts w:eastAsia="方正仿宋_GBK"/>
          <w:sz w:val="32"/>
          <w:szCs w:val="32"/>
        </w:rPr>
      </w:pPr>
      <w:r>
        <w:rPr>
          <w:rFonts w:hint="eastAsia" w:eastAsia="方正仿宋_GBK" w:cs="方正仿宋_GBK"/>
          <w:sz w:val="32"/>
          <w:szCs w:val="32"/>
        </w:rPr>
        <w:t>美丽秦淮建设取得新的进展。生态环境质量持续改善，节能减排保持省市先进水平，绿色经济发展活力持续增强，城市宜居品质显著提升。秦淮水文化特质更加彰显，最干净城区管理常态长效，文化品牌标识度愈加彰显。实施城市更新行动，空间布局更趋均衡，公园绿地、海绵城市、绿色建筑等生态系统更加健全，功能品质全面提升。社会主义意识形态凝聚力和引领力显著增强，核心价值观融入社会发展各方面，以秦淮历史为依托的优秀传统文化和精神内涵更加彰显。公共文化服务全面提质增效，现代文化创意产业体系和文化创新发展生态持续完善，全社会文化自信达到新高度，文化强区建设实现新的跃升，在文化创造力、影响力、传播力上走在前列。</w:t>
      </w:r>
    </w:p>
    <w:p w14:paraId="621F96D0">
      <w:pPr>
        <w:spacing w:line="590" w:lineRule="exact"/>
        <w:ind w:firstLine="629"/>
        <w:rPr>
          <w:rFonts w:eastAsia="方正仿宋_GBK"/>
          <w:sz w:val="32"/>
          <w:szCs w:val="32"/>
        </w:rPr>
      </w:pPr>
      <w:r>
        <w:rPr>
          <w:rFonts w:hint="eastAsia" w:eastAsia="方正仿宋_GBK" w:cs="方正仿宋_GBK"/>
          <w:sz w:val="32"/>
          <w:szCs w:val="32"/>
        </w:rPr>
        <w:t>深化改革形成引领性优势。经济体制改革牵引作用充分发挥，重点领域和关键环节的改革深入推进，基层治理改革发挥重要的示范引领作用，基本建成营商环境最优城区、市场机制最活区、改革探索领跑区。党的全面领导落实到各领域各方面的高效执行体系基本形成，政治生态更加优化，社会主义民主法治更加健全，社会公平正义进一步彰显，各领域法治化水平全面提升。高效协同治理格局基本建成，重大风险防范化解能力、突发公共事件应急能力、防灾减灾救灾能力显著增强，现代应急体系基本建成，平安秦淮建设体系更加完善，在治理体系和治理能力现代化建设上走在前列。</w:t>
      </w:r>
    </w:p>
    <w:p w14:paraId="21C344C6">
      <w:pPr>
        <w:pStyle w:val="2"/>
        <w:rPr>
          <w:rFonts w:eastAsia="方正仿宋_GBK"/>
          <w:sz w:val="32"/>
          <w:szCs w:val="32"/>
        </w:rPr>
      </w:pPr>
    </w:p>
    <w:p w14:paraId="00F2F7A9">
      <w:pPr>
        <w:pStyle w:val="5"/>
        <w:spacing w:before="0" w:after="0" w:line="240" w:lineRule="auto"/>
        <w:jc w:val="center"/>
        <w:rPr>
          <w:rFonts w:eastAsia="华文中宋"/>
          <w:b w:val="0"/>
          <w:bCs w:val="0"/>
          <w:sz w:val="28"/>
          <w:szCs w:val="28"/>
        </w:rPr>
      </w:pPr>
      <w:bookmarkStart w:id="56" w:name="_Toc60466211"/>
      <w:r>
        <w:rPr>
          <w:rFonts w:hint="eastAsia" w:ascii="方正黑体_GBK" w:hAnsi="方正黑体_GBK" w:eastAsia="方正黑体_GBK" w:cs="方正黑体_GBK"/>
          <w:b w:val="0"/>
          <w:bCs w:val="0"/>
        </w:rPr>
        <w:t>“十四五”规划纲要经济社会发展主要指标体系表</w:t>
      </w:r>
      <w:r>
        <w:rPr>
          <w:rStyle w:val="16"/>
          <w:sz w:val="24"/>
          <w:szCs w:val="24"/>
        </w:rPr>
        <w:footnoteReference w:id="2"/>
      </w:r>
      <w:bookmarkEnd w:id="56"/>
    </w:p>
    <w:tbl>
      <w:tblPr>
        <w:tblStyle w:val="12"/>
        <w:tblW w:w="5100" w:type="pct"/>
        <w:tblInd w:w="2" w:type="dxa"/>
        <w:tblLayout w:type="autofit"/>
        <w:tblCellMar>
          <w:top w:w="0" w:type="dxa"/>
          <w:left w:w="108" w:type="dxa"/>
          <w:bottom w:w="0" w:type="dxa"/>
          <w:right w:w="108" w:type="dxa"/>
        </w:tblCellMar>
      </w:tblPr>
      <w:tblGrid>
        <w:gridCol w:w="1325"/>
        <w:gridCol w:w="741"/>
        <w:gridCol w:w="4214"/>
        <w:gridCol w:w="1843"/>
        <w:gridCol w:w="1002"/>
      </w:tblGrid>
      <w:tr w14:paraId="50F0ADC9">
        <w:tblPrEx>
          <w:tblCellMar>
            <w:top w:w="0" w:type="dxa"/>
            <w:left w:w="108" w:type="dxa"/>
            <w:bottom w:w="0" w:type="dxa"/>
            <w:right w:w="108" w:type="dxa"/>
          </w:tblCellMar>
        </w:tblPrEx>
        <w:trPr>
          <w:trHeight w:val="570" w:hRule="atLeast"/>
        </w:trPr>
        <w:tc>
          <w:tcPr>
            <w:tcW w:w="726" w:type="pct"/>
            <w:tcBorders>
              <w:top w:val="single" w:color="000000" w:sz="8" w:space="0"/>
              <w:left w:val="single" w:color="000000" w:sz="8" w:space="0"/>
              <w:bottom w:val="nil"/>
              <w:right w:val="single" w:color="000000" w:sz="8" w:space="0"/>
            </w:tcBorders>
            <w:vAlign w:val="center"/>
          </w:tcPr>
          <w:p w14:paraId="42BF0C9E">
            <w:pPr>
              <w:widowControl/>
              <w:jc w:val="center"/>
              <w:textAlignment w:val="center"/>
              <w:rPr>
                <w:b/>
                <w:bCs/>
                <w:color w:val="000000"/>
              </w:rPr>
            </w:pPr>
            <w:r>
              <w:rPr>
                <w:rFonts w:hint="eastAsia" w:cs="宋体"/>
                <w:b/>
                <w:bCs/>
                <w:color w:val="000000"/>
              </w:rPr>
              <w:t>类别</w:t>
            </w:r>
          </w:p>
        </w:tc>
        <w:tc>
          <w:tcPr>
            <w:tcW w:w="406" w:type="pct"/>
            <w:tcBorders>
              <w:top w:val="single" w:color="000000" w:sz="8" w:space="0"/>
              <w:left w:val="nil"/>
              <w:bottom w:val="nil"/>
              <w:right w:val="single" w:color="000000" w:sz="8" w:space="0"/>
            </w:tcBorders>
            <w:vAlign w:val="center"/>
          </w:tcPr>
          <w:p w14:paraId="1B236461">
            <w:pPr>
              <w:widowControl/>
              <w:jc w:val="center"/>
              <w:textAlignment w:val="center"/>
              <w:rPr>
                <w:b/>
                <w:bCs/>
                <w:color w:val="000000"/>
              </w:rPr>
            </w:pPr>
            <w:r>
              <w:rPr>
                <w:rFonts w:hint="eastAsia" w:cs="宋体"/>
                <w:b/>
                <w:bCs/>
                <w:color w:val="000000"/>
              </w:rPr>
              <w:t>序号</w:t>
            </w:r>
          </w:p>
        </w:tc>
        <w:tc>
          <w:tcPr>
            <w:tcW w:w="2309" w:type="pct"/>
            <w:tcBorders>
              <w:top w:val="single" w:color="000000" w:sz="8" w:space="0"/>
              <w:left w:val="nil"/>
              <w:bottom w:val="nil"/>
              <w:right w:val="single" w:color="000000" w:sz="8" w:space="0"/>
            </w:tcBorders>
            <w:vAlign w:val="center"/>
          </w:tcPr>
          <w:p w14:paraId="282BE542">
            <w:pPr>
              <w:widowControl/>
              <w:jc w:val="center"/>
              <w:textAlignment w:val="center"/>
              <w:rPr>
                <w:b/>
                <w:bCs/>
                <w:color w:val="000000"/>
              </w:rPr>
            </w:pPr>
            <w:r>
              <w:rPr>
                <w:rFonts w:hint="eastAsia" w:cs="宋体"/>
                <w:b/>
                <w:bCs/>
                <w:color w:val="000000"/>
              </w:rPr>
              <w:t>指标</w:t>
            </w:r>
          </w:p>
        </w:tc>
        <w:tc>
          <w:tcPr>
            <w:tcW w:w="1010" w:type="pct"/>
            <w:tcBorders>
              <w:top w:val="single" w:color="000000" w:sz="8" w:space="0"/>
              <w:left w:val="nil"/>
              <w:bottom w:val="nil"/>
              <w:right w:val="single" w:color="000000" w:sz="8" w:space="0"/>
            </w:tcBorders>
            <w:vAlign w:val="center"/>
          </w:tcPr>
          <w:p w14:paraId="3D8EB8B5">
            <w:pPr>
              <w:widowControl/>
              <w:jc w:val="center"/>
              <w:textAlignment w:val="center"/>
              <w:rPr>
                <w:b/>
                <w:bCs/>
                <w:color w:val="000000"/>
              </w:rPr>
            </w:pPr>
            <w:r>
              <w:rPr>
                <w:b/>
                <w:bCs/>
                <w:color w:val="000000"/>
              </w:rPr>
              <w:t>2025</w:t>
            </w:r>
            <w:r>
              <w:rPr>
                <w:rStyle w:val="25"/>
                <w:rFonts w:hint="eastAsia" w:cs="宋体"/>
              </w:rPr>
              <w:t>年预计</w:t>
            </w:r>
          </w:p>
        </w:tc>
        <w:tc>
          <w:tcPr>
            <w:tcW w:w="549" w:type="pct"/>
            <w:tcBorders>
              <w:top w:val="single" w:color="000000" w:sz="8" w:space="0"/>
              <w:left w:val="nil"/>
              <w:bottom w:val="nil"/>
              <w:right w:val="single" w:color="000000" w:sz="8" w:space="0"/>
            </w:tcBorders>
            <w:vAlign w:val="center"/>
          </w:tcPr>
          <w:p w14:paraId="695C394B">
            <w:pPr>
              <w:widowControl/>
              <w:jc w:val="center"/>
              <w:textAlignment w:val="center"/>
              <w:rPr>
                <w:b/>
                <w:bCs/>
                <w:color w:val="000000"/>
              </w:rPr>
            </w:pPr>
            <w:r>
              <w:rPr>
                <w:rFonts w:hint="eastAsia" w:cs="宋体"/>
                <w:b/>
                <w:bCs/>
                <w:color w:val="000000"/>
              </w:rPr>
              <w:t>属性</w:t>
            </w:r>
          </w:p>
        </w:tc>
      </w:tr>
      <w:tr w14:paraId="49A41556">
        <w:tblPrEx>
          <w:tblCellMar>
            <w:top w:w="0" w:type="dxa"/>
            <w:left w:w="108" w:type="dxa"/>
            <w:bottom w:w="0" w:type="dxa"/>
            <w:right w:w="108" w:type="dxa"/>
          </w:tblCellMar>
        </w:tblPrEx>
        <w:trPr>
          <w:trHeight w:val="270" w:hRule="atLeast"/>
        </w:trPr>
        <w:tc>
          <w:tcPr>
            <w:tcW w:w="726" w:type="pct"/>
            <w:vMerge w:val="restart"/>
            <w:tcBorders>
              <w:top w:val="single" w:color="000000" w:sz="4" w:space="0"/>
              <w:left w:val="single" w:color="000000" w:sz="4" w:space="0"/>
              <w:right w:val="single" w:color="000000" w:sz="4" w:space="0"/>
            </w:tcBorders>
            <w:vAlign w:val="center"/>
          </w:tcPr>
          <w:p w14:paraId="399A29FE">
            <w:pPr>
              <w:widowControl/>
              <w:jc w:val="center"/>
              <w:textAlignment w:val="center"/>
              <w:rPr>
                <w:color w:val="000000"/>
              </w:rPr>
            </w:pPr>
            <w:r>
              <w:rPr>
                <w:rFonts w:hint="eastAsia" w:cs="宋体"/>
                <w:color w:val="000000"/>
              </w:rPr>
              <w:t>高能级的</w:t>
            </w:r>
          </w:p>
          <w:p w14:paraId="01D3ACE4">
            <w:pPr>
              <w:widowControl/>
              <w:jc w:val="center"/>
              <w:textAlignment w:val="center"/>
              <w:rPr>
                <w:color w:val="000000"/>
              </w:rPr>
            </w:pPr>
            <w:r>
              <w:rPr>
                <w:rFonts w:hint="eastAsia" w:cs="宋体"/>
                <w:color w:val="000000"/>
              </w:rPr>
              <w:t>创新名城</w:t>
            </w:r>
          </w:p>
          <w:p w14:paraId="793E4615">
            <w:pPr>
              <w:jc w:val="center"/>
              <w:textAlignment w:val="center"/>
              <w:rPr>
                <w:color w:val="000000"/>
              </w:rPr>
            </w:pPr>
            <w:r>
              <w:rPr>
                <w:rFonts w:hint="eastAsia" w:cs="宋体"/>
                <w:color w:val="000000"/>
              </w:rPr>
              <w:t>示范区</w:t>
            </w:r>
          </w:p>
        </w:tc>
        <w:tc>
          <w:tcPr>
            <w:tcW w:w="406" w:type="pct"/>
            <w:tcBorders>
              <w:top w:val="single" w:color="000000" w:sz="4" w:space="0"/>
              <w:left w:val="single" w:color="000000" w:sz="4" w:space="0"/>
              <w:bottom w:val="single" w:color="000000" w:sz="4" w:space="0"/>
              <w:right w:val="single" w:color="000000" w:sz="4" w:space="0"/>
            </w:tcBorders>
            <w:vAlign w:val="center"/>
          </w:tcPr>
          <w:p w14:paraId="39082DEE">
            <w:pPr>
              <w:widowControl/>
              <w:jc w:val="center"/>
              <w:textAlignment w:val="center"/>
              <w:rPr>
                <w:color w:val="000000"/>
              </w:rPr>
            </w:pPr>
            <w:r>
              <w:rPr>
                <w:color w:val="000000"/>
              </w:rPr>
              <w:t>1</w:t>
            </w:r>
          </w:p>
        </w:tc>
        <w:tc>
          <w:tcPr>
            <w:tcW w:w="2309" w:type="pct"/>
            <w:tcBorders>
              <w:top w:val="single" w:color="000000" w:sz="4" w:space="0"/>
              <w:left w:val="single" w:color="000000" w:sz="4" w:space="0"/>
              <w:bottom w:val="single" w:color="000000" w:sz="4" w:space="0"/>
              <w:right w:val="single" w:color="000000" w:sz="4" w:space="0"/>
            </w:tcBorders>
            <w:vAlign w:val="center"/>
          </w:tcPr>
          <w:p w14:paraId="024954DD">
            <w:pPr>
              <w:widowControl/>
              <w:jc w:val="center"/>
              <w:textAlignment w:val="center"/>
              <w:rPr>
                <w:color w:val="000000"/>
              </w:rPr>
            </w:pPr>
            <w:r>
              <w:rPr>
                <w:rFonts w:hint="eastAsia" w:cs="宋体"/>
                <w:color w:val="000000"/>
              </w:rPr>
              <w:t>地区生产总值增速</w:t>
            </w:r>
          </w:p>
        </w:tc>
        <w:tc>
          <w:tcPr>
            <w:tcW w:w="1010" w:type="pct"/>
            <w:tcBorders>
              <w:top w:val="single" w:color="000000" w:sz="4" w:space="0"/>
              <w:left w:val="single" w:color="000000" w:sz="4" w:space="0"/>
              <w:bottom w:val="single" w:color="000000" w:sz="4" w:space="0"/>
              <w:right w:val="single" w:color="000000" w:sz="4" w:space="0"/>
            </w:tcBorders>
            <w:vAlign w:val="center"/>
          </w:tcPr>
          <w:p w14:paraId="790A4E52">
            <w:pPr>
              <w:widowControl/>
              <w:jc w:val="center"/>
              <w:textAlignment w:val="center"/>
              <w:rPr>
                <w:color w:val="000000"/>
              </w:rPr>
            </w:pPr>
            <w:r>
              <w:rPr>
                <w:color w:val="000000"/>
              </w:rPr>
              <w:t>7%</w:t>
            </w:r>
          </w:p>
        </w:tc>
        <w:tc>
          <w:tcPr>
            <w:tcW w:w="549" w:type="pct"/>
            <w:tcBorders>
              <w:top w:val="single" w:color="000000" w:sz="4" w:space="0"/>
              <w:left w:val="single" w:color="000000" w:sz="4" w:space="0"/>
              <w:bottom w:val="single" w:color="000000" w:sz="4" w:space="0"/>
              <w:right w:val="single" w:color="000000" w:sz="4" w:space="0"/>
            </w:tcBorders>
            <w:vAlign w:val="center"/>
          </w:tcPr>
          <w:p w14:paraId="20F60143">
            <w:pPr>
              <w:widowControl/>
              <w:jc w:val="center"/>
              <w:textAlignment w:val="center"/>
              <w:rPr>
                <w:color w:val="000000"/>
              </w:rPr>
            </w:pPr>
            <w:r>
              <w:rPr>
                <w:rFonts w:hint="eastAsia" w:cs="宋体"/>
                <w:color w:val="000000"/>
              </w:rPr>
              <w:t>预期性</w:t>
            </w:r>
          </w:p>
        </w:tc>
      </w:tr>
      <w:tr w14:paraId="62D6024A">
        <w:tblPrEx>
          <w:tblCellMar>
            <w:top w:w="0" w:type="dxa"/>
            <w:left w:w="108" w:type="dxa"/>
            <w:bottom w:w="0" w:type="dxa"/>
            <w:right w:w="108" w:type="dxa"/>
          </w:tblCellMar>
        </w:tblPrEx>
        <w:trPr>
          <w:trHeight w:val="270" w:hRule="atLeast"/>
        </w:trPr>
        <w:tc>
          <w:tcPr>
            <w:tcW w:w="726" w:type="pct"/>
            <w:vMerge w:val="continue"/>
            <w:tcBorders>
              <w:left w:val="single" w:color="000000" w:sz="4" w:space="0"/>
              <w:right w:val="single" w:color="000000" w:sz="4" w:space="0"/>
            </w:tcBorders>
            <w:vAlign w:val="center"/>
          </w:tcPr>
          <w:p w14:paraId="13D85C47">
            <w:pPr>
              <w:jc w:val="center"/>
              <w:textAlignment w:val="center"/>
              <w:rPr>
                <w:color w:val="000000"/>
              </w:rPr>
            </w:pPr>
          </w:p>
        </w:tc>
        <w:tc>
          <w:tcPr>
            <w:tcW w:w="406" w:type="pct"/>
            <w:tcBorders>
              <w:top w:val="single" w:color="000000" w:sz="4" w:space="0"/>
              <w:left w:val="single" w:color="000000" w:sz="4" w:space="0"/>
              <w:bottom w:val="single" w:color="000000" w:sz="4" w:space="0"/>
              <w:right w:val="single" w:color="000000" w:sz="4" w:space="0"/>
            </w:tcBorders>
            <w:vAlign w:val="center"/>
          </w:tcPr>
          <w:p w14:paraId="22B4516E">
            <w:pPr>
              <w:widowControl/>
              <w:jc w:val="center"/>
              <w:textAlignment w:val="center"/>
              <w:rPr>
                <w:color w:val="000000"/>
              </w:rPr>
            </w:pPr>
            <w:r>
              <w:rPr>
                <w:color w:val="000000"/>
              </w:rPr>
              <w:t>2</w:t>
            </w:r>
          </w:p>
        </w:tc>
        <w:tc>
          <w:tcPr>
            <w:tcW w:w="2309" w:type="pct"/>
            <w:tcBorders>
              <w:top w:val="single" w:color="000000" w:sz="4" w:space="0"/>
              <w:left w:val="single" w:color="000000" w:sz="4" w:space="0"/>
              <w:bottom w:val="single" w:color="000000" w:sz="4" w:space="0"/>
              <w:right w:val="single" w:color="000000" w:sz="4" w:space="0"/>
            </w:tcBorders>
            <w:vAlign w:val="center"/>
          </w:tcPr>
          <w:p w14:paraId="6AB82AFF">
            <w:pPr>
              <w:widowControl/>
              <w:jc w:val="center"/>
              <w:textAlignment w:val="center"/>
              <w:rPr>
                <w:color w:val="000000"/>
              </w:rPr>
            </w:pPr>
            <w:r>
              <w:rPr>
                <w:rFonts w:hint="eastAsia" w:cs="宋体"/>
                <w:color w:val="000000"/>
              </w:rPr>
              <w:t>一般公共预算收入增速</w:t>
            </w:r>
          </w:p>
        </w:tc>
        <w:tc>
          <w:tcPr>
            <w:tcW w:w="1010" w:type="pct"/>
            <w:tcBorders>
              <w:top w:val="single" w:color="000000" w:sz="4" w:space="0"/>
              <w:left w:val="single" w:color="000000" w:sz="4" w:space="0"/>
              <w:bottom w:val="single" w:color="000000" w:sz="4" w:space="0"/>
              <w:right w:val="single" w:color="000000" w:sz="4" w:space="0"/>
            </w:tcBorders>
            <w:vAlign w:val="center"/>
          </w:tcPr>
          <w:p w14:paraId="357E7D0B">
            <w:pPr>
              <w:widowControl/>
              <w:jc w:val="center"/>
              <w:textAlignment w:val="center"/>
              <w:rPr>
                <w:color w:val="000000"/>
              </w:rPr>
            </w:pPr>
            <w:r>
              <w:rPr>
                <w:color w:val="000000"/>
              </w:rPr>
              <w:t>5%</w:t>
            </w:r>
          </w:p>
        </w:tc>
        <w:tc>
          <w:tcPr>
            <w:tcW w:w="549" w:type="pct"/>
            <w:tcBorders>
              <w:top w:val="single" w:color="000000" w:sz="4" w:space="0"/>
              <w:left w:val="single" w:color="000000" w:sz="4" w:space="0"/>
              <w:bottom w:val="single" w:color="000000" w:sz="4" w:space="0"/>
              <w:right w:val="single" w:color="000000" w:sz="4" w:space="0"/>
            </w:tcBorders>
            <w:vAlign w:val="center"/>
          </w:tcPr>
          <w:p w14:paraId="20D94E45">
            <w:pPr>
              <w:widowControl/>
              <w:jc w:val="center"/>
              <w:textAlignment w:val="center"/>
              <w:rPr>
                <w:color w:val="000000"/>
              </w:rPr>
            </w:pPr>
            <w:r>
              <w:rPr>
                <w:rFonts w:hint="eastAsia" w:cs="宋体"/>
                <w:color w:val="000000"/>
              </w:rPr>
              <w:t>预期性</w:t>
            </w:r>
          </w:p>
        </w:tc>
      </w:tr>
      <w:tr w14:paraId="5869AFF1">
        <w:tblPrEx>
          <w:tblCellMar>
            <w:top w:w="0" w:type="dxa"/>
            <w:left w:w="108" w:type="dxa"/>
            <w:bottom w:w="0" w:type="dxa"/>
            <w:right w:w="108" w:type="dxa"/>
          </w:tblCellMar>
        </w:tblPrEx>
        <w:trPr>
          <w:trHeight w:val="270" w:hRule="atLeast"/>
        </w:trPr>
        <w:tc>
          <w:tcPr>
            <w:tcW w:w="726" w:type="pct"/>
            <w:vMerge w:val="continue"/>
            <w:tcBorders>
              <w:left w:val="single" w:color="000000" w:sz="4" w:space="0"/>
              <w:right w:val="single" w:color="000000" w:sz="4" w:space="0"/>
            </w:tcBorders>
            <w:vAlign w:val="center"/>
          </w:tcPr>
          <w:p w14:paraId="741DC1D1">
            <w:pPr>
              <w:jc w:val="center"/>
              <w:textAlignment w:val="center"/>
              <w:rPr>
                <w:color w:val="000000"/>
              </w:rPr>
            </w:pPr>
          </w:p>
        </w:tc>
        <w:tc>
          <w:tcPr>
            <w:tcW w:w="406" w:type="pct"/>
            <w:tcBorders>
              <w:top w:val="single" w:color="000000" w:sz="4" w:space="0"/>
              <w:left w:val="single" w:color="000000" w:sz="4" w:space="0"/>
              <w:bottom w:val="single" w:color="000000" w:sz="4" w:space="0"/>
              <w:right w:val="single" w:color="000000" w:sz="4" w:space="0"/>
            </w:tcBorders>
            <w:vAlign w:val="center"/>
          </w:tcPr>
          <w:p w14:paraId="61338AA3">
            <w:pPr>
              <w:widowControl/>
              <w:jc w:val="center"/>
              <w:textAlignment w:val="center"/>
              <w:rPr>
                <w:color w:val="000000"/>
              </w:rPr>
            </w:pPr>
            <w:r>
              <w:rPr>
                <w:color w:val="000000"/>
              </w:rPr>
              <w:t>3</w:t>
            </w:r>
          </w:p>
        </w:tc>
        <w:tc>
          <w:tcPr>
            <w:tcW w:w="2309" w:type="pct"/>
            <w:tcBorders>
              <w:top w:val="single" w:color="000000" w:sz="4" w:space="0"/>
              <w:left w:val="single" w:color="000000" w:sz="4" w:space="0"/>
              <w:bottom w:val="single" w:color="000000" w:sz="4" w:space="0"/>
              <w:right w:val="single" w:color="000000" w:sz="4" w:space="0"/>
            </w:tcBorders>
            <w:vAlign w:val="center"/>
          </w:tcPr>
          <w:p w14:paraId="64C59974">
            <w:pPr>
              <w:widowControl/>
              <w:jc w:val="center"/>
              <w:textAlignment w:val="center"/>
              <w:rPr>
                <w:color w:val="000000"/>
              </w:rPr>
            </w:pPr>
            <w:r>
              <w:rPr>
                <w:rFonts w:hint="eastAsia" w:cs="宋体"/>
                <w:color w:val="000000"/>
              </w:rPr>
              <w:t>固定资产投资增速</w:t>
            </w:r>
          </w:p>
        </w:tc>
        <w:tc>
          <w:tcPr>
            <w:tcW w:w="1010" w:type="pct"/>
            <w:tcBorders>
              <w:top w:val="single" w:color="000000" w:sz="4" w:space="0"/>
              <w:left w:val="single" w:color="000000" w:sz="4" w:space="0"/>
              <w:bottom w:val="single" w:color="000000" w:sz="4" w:space="0"/>
              <w:right w:val="single" w:color="000000" w:sz="4" w:space="0"/>
            </w:tcBorders>
            <w:vAlign w:val="center"/>
          </w:tcPr>
          <w:p w14:paraId="7565CA5C">
            <w:pPr>
              <w:widowControl/>
              <w:jc w:val="center"/>
              <w:textAlignment w:val="center"/>
              <w:rPr>
                <w:color w:val="000000"/>
              </w:rPr>
            </w:pPr>
            <w:r>
              <w:rPr>
                <w:color w:val="000000"/>
              </w:rPr>
              <w:t>8%</w:t>
            </w:r>
          </w:p>
        </w:tc>
        <w:tc>
          <w:tcPr>
            <w:tcW w:w="549" w:type="pct"/>
            <w:tcBorders>
              <w:top w:val="single" w:color="000000" w:sz="4" w:space="0"/>
              <w:left w:val="single" w:color="000000" w:sz="4" w:space="0"/>
              <w:bottom w:val="single" w:color="000000" w:sz="4" w:space="0"/>
              <w:right w:val="single" w:color="000000" w:sz="4" w:space="0"/>
            </w:tcBorders>
            <w:vAlign w:val="center"/>
          </w:tcPr>
          <w:p w14:paraId="0BF64AF4">
            <w:pPr>
              <w:widowControl/>
              <w:jc w:val="center"/>
              <w:textAlignment w:val="center"/>
              <w:rPr>
                <w:color w:val="000000"/>
              </w:rPr>
            </w:pPr>
            <w:r>
              <w:rPr>
                <w:rFonts w:hint="eastAsia" w:cs="宋体"/>
                <w:color w:val="000000"/>
              </w:rPr>
              <w:t>预期性</w:t>
            </w:r>
          </w:p>
        </w:tc>
      </w:tr>
      <w:tr w14:paraId="08D49EA4">
        <w:tblPrEx>
          <w:tblCellMar>
            <w:top w:w="0" w:type="dxa"/>
            <w:left w:w="108" w:type="dxa"/>
            <w:bottom w:w="0" w:type="dxa"/>
            <w:right w:w="108" w:type="dxa"/>
          </w:tblCellMar>
        </w:tblPrEx>
        <w:trPr>
          <w:trHeight w:val="270" w:hRule="atLeast"/>
        </w:trPr>
        <w:tc>
          <w:tcPr>
            <w:tcW w:w="726" w:type="pct"/>
            <w:vMerge w:val="continue"/>
            <w:tcBorders>
              <w:left w:val="single" w:color="000000" w:sz="4" w:space="0"/>
              <w:right w:val="single" w:color="000000" w:sz="4" w:space="0"/>
            </w:tcBorders>
            <w:vAlign w:val="center"/>
          </w:tcPr>
          <w:p w14:paraId="53223558">
            <w:pPr>
              <w:widowControl/>
              <w:jc w:val="center"/>
              <w:textAlignment w:val="center"/>
              <w:rPr>
                <w:color w:val="000000"/>
              </w:rPr>
            </w:pPr>
          </w:p>
        </w:tc>
        <w:tc>
          <w:tcPr>
            <w:tcW w:w="406" w:type="pct"/>
            <w:tcBorders>
              <w:top w:val="single" w:color="000000" w:sz="4" w:space="0"/>
              <w:left w:val="single" w:color="000000" w:sz="4" w:space="0"/>
              <w:bottom w:val="single" w:color="000000" w:sz="4" w:space="0"/>
              <w:right w:val="single" w:color="000000" w:sz="4" w:space="0"/>
            </w:tcBorders>
            <w:vAlign w:val="center"/>
          </w:tcPr>
          <w:p w14:paraId="4CDF4653">
            <w:pPr>
              <w:widowControl/>
              <w:jc w:val="center"/>
              <w:textAlignment w:val="center"/>
              <w:rPr>
                <w:color w:val="000000"/>
              </w:rPr>
            </w:pPr>
            <w:r>
              <w:rPr>
                <w:color w:val="000000"/>
              </w:rPr>
              <w:t>4</w:t>
            </w:r>
          </w:p>
        </w:tc>
        <w:tc>
          <w:tcPr>
            <w:tcW w:w="2309" w:type="pct"/>
            <w:tcBorders>
              <w:top w:val="single" w:color="000000" w:sz="4" w:space="0"/>
              <w:left w:val="single" w:color="000000" w:sz="4" w:space="0"/>
              <w:bottom w:val="single" w:color="000000" w:sz="4" w:space="0"/>
              <w:right w:val="single" w:color="000000" w:sz="4" w:space="0"/>
            </w:tcBorders>
            <w:vAlign w:val="center"/>
          </w:tcPr>
          <w:p w14:paraId="5D39EA97">
            <w:pPr>
              <w:widowControl/>
              <w:jc w:val="center"/>
              <w:textAlignment w:val="center"/>
              <w:rPr>
                <w:color w:val="000000"/>
              </w:rPr>
            </w:pPr>
            <w:r>
              <w:rPr>
                <w:rFonts w:hint="eastAsia" w:cs="宋体"/>
                <w:color w:val="000000"/>
              </w:rPr>
              <w:t>研发经费支出占</w:t>
            </w:r>
            <w:r>
              <w:rPr>
                <w:color w:val="000000"/>
              </w:rPr>
              <w:t>GDP</w:t>
            </w:r>
            <w:r>
              <w:rPr>
                <w:rStyle w:val="26"/>
                <w:rFonts w:hint="eastAsia" w:ascii="Times New Roman" w:hAnsi="Times New Roman"/>
              </w:rPr>
              <w:t>比重</w:t>
            </w:r>
          </w:p>
        </w:tc>
        <w:tc>
          <w:tcPr>
            <w:tcW w:w="1010" w:type="pct"/>
            <w:tcBorders>
              <w:top w:val="single" w:color="000000" w:sz="4" w:space="0"/>
              <w:left w:val="single" w:color="000000" w:sz="4" w:space="0"/>
              <w:bottom w:val="single" w:color="000000" w:sz="4" w:space="0"/>
              <w:right w:val="single" w:color="000000" w:sz="4" w:space="0"/>
            </w:tcBorders>
            <w:vAlign w:val="center"/>
          </w:tcPr>
          <w:p w14:paraId="61CA624B">
            <w:pPr>
              <w:widowControl/>
              <w:jc w:val="center"/>
              <w:textAlignment w:val="center"/>
              <w:rPr>
                <w:color w:val="000000"/>
              </w:rPr>
            </w:pPr>
            <w:r>
              <w:rPr>
                <w:color w:val="000000"/>
              </w:rPr>
              <w:t>4%</w:t>
            </w:r>
          </w:p>
        </w:tc>
        <w:tc>
          <w:tcPr>
            <w:tcW w:w="549" w:type="pct"/>
            <w:tcBorders>
              <w:top w:val="single" w:color="000000" w:sz="4" w:space="0"/>
              <w:left w:val="single" w:color="000000" w:sz="4" w:space="0"/>
              <w:bottom w:val="single" w:color="000000" w:sz="4" w:space="0"/>
              <w:right w:val="single" w:color="000000" w:sz="4" w:space="0"/>
            </w:tcBorders>
            <w:vAlign w:val="center"/>
          </w:tcPr>
          <w:p w14:paraId="716854D0">
            <w:pPr>
              <w:widowControl/>
              <w:jc w:val="center"/>
              <w:textAlignment w:val="center"/>
              <w:rPr>
                <w:color w:val="000000"/>
              </w:rPr>
            </w:pPr>
            <w:r>
              <w:rPr>
                <w:rFonts w:hint="eastAsia" w:cs="宋体"/>
                <w:color w:val="000000"/>
              </w:rPr>
              <w:t>预期性</w:t>
            </w:r>
          </w:p>
        </w:tc>
      </w:tr>
      <w:tr w14:paraId="4F3BB51F">
        <w:tblPrEx>
          <w:tblCellMar>
            <w:top w:w="0" w:type="dxa"/>
            <w:left w:w="108" w:type="dxa"/>
            <w:bottom w:w="0" w:type="dxa"/>
            <w:right w:w="108" w:type="dxa"/>
          </w:tblCellMar>
        </w:tblPrEx>
        <w:trPr>
          <w:trHeight w:val="270" w:hRule="atLeast"/>
        </w:trPr>
        <w:tc>
          <w:tcPr>
            <w:tcW w:w="726" w:type="pct"/>
            <w:vMerge w:val="continue"/>
            <w:tcBorders>
              <w:left w:val="single" w:color="000000" w:sz="4" w:space="0"/>
              <w:right w:val="single" w:color="000000" w:sz="4" w:space="0"/>
            </w:tcBorders>
            <w:vAlign w:val="center"/>
          </w:tcPr>
          <w:p w14:paraId="6F12C9AF">
            <w:pPr>
              <w:jc w:val="center"/>
              <w:rPr>
                <w:color w:val="000000"/>
              </w:rPr>
            </w:pPr>
          </w:p>
        </w:tc>
        <w:tc>
          <w:tcPr>
            <w:tcW w:w="406" w:type="pct"/>
            <w:tcBorders>
              <w:top w:val="single" w:color="000000" w:sz="4" w:space="0"/>
              <w:left w:val="single" w:color="000000" w:sz="4" w:space="0"/>
              <w:bottom w:val="single" w:color="000000" w:sz="4" w:space="0"/>
              <w:right w:val="single" w:color="000000" w:sz="4" w:space="0"/>
            </w:tcBorders>
            <w:vAlign w:val="center"/>
          </w:tcPr>
          <w:p w14:paraId="2AC41956">
            <w:pPr>
              <w:widowControl/>
              <w:jc w:val="center"/>
              <w:textAlignment w:val="center"/>
              <w:rPr>
                <w:color w:val="000000"/>
              </w:rPr>
            </w:pPr>
            <w:r>
              <w:rPr>
                <w:color w:val="000000"/>
              </w:rPr>
              <w:t>5</w:t>
            </w:r>
          </w:p>
        </w:tc>
        <w:tc>
          <w:tcPr>
            <w:tcW w:w="2309" w:type="pct"/>
            <w:tcBorders>
              <w:top w:val="single" w:color="000000" w:sz="4" w:space="0"/>
              <w:left w:val="single" w:color="000000" w:sz="4" w:space="0"/>
              <w:bottom w:val="single" w:color="000000" w:sz="4" w:space="0"/>
              <w:right w:val="single" w:color="000000" w:sz="4" w:space="0"/>
            </w:tcBorders>
            <w:vAlign w:val="center"/>
          </w:tcPr>
          <w:p w14:paraId="171681D3">
            <w:pPr>
              <w:widowControl/>
              <w:jc w:val="center"/>
              <w:textAlignment w:val="center"/>
              <w:rPr>
                <w:color w:val="000000"/>
              </w:rPr>
            </w:pPr>
            <w:r>
              <w:rPr>
                <w:rFonts w:hint="eastAsia" w:cs="宋体"/>
                <w:color w:val="000000"/>
              </w:rPr>
              <w:t>高新技术企业数</w:t>
            </w:r>
          </w:p>
        </w:tc>
        <w:tc>
          <w:tcPr>
            <w:tcW w:w="1010" w:type="pct"/>
            <w:tcBorders>
              <w:top w:val="single" w:color="000000" w:sz="4" w:space="0"/>
              <w:left w:val="single" w:color="000000" w:sz="4" w:space="0"/>
              <w:bottom w:val="single" w:color="000000" w:sz="4" w:space="0"/>
              <w:right w:val="single" w:color="000000" w:sz="4" w:space="0"/>
            </w:tcBorders>
            <w:vAlign w:val="center"/>
          </w:tcPr>
          <w:p w14:paraId="30496C1F">
            <w:pPr>
              <w:widowControl/>
              <w:jc w:val="center"/>
              <w:textAlignment w:val="center"/>
              <w:rPr>
                <w:color w:val="000000"/>
              </w:rPr>
            </w:pPr>
            <w:r>
              <w:rPr>
                <w:color w:val="000000"/>
              </w:rPr>
              <w:t>1300</w:t>
            </w:r>
            <w:r>
              <w:rPr>
                <w:rStyle w:val="26"/>
                <w:rFonts w:hint="eastAsia" w:ascii="Times New Roman" w:hAnsi="Times New Roman"/>
              </w:rPr>
              <w:t>家</w:t>
            </w:r>
          </w:p>
        </w:tc>
        <w:tc>
          <w:tcPr>
            <w:tcW w:w="549" w:type="pct"/>
            <w:tcBorders>
              <w:top w:val="single" w:color="000000" w:sz="4" w:space="0"/>
              <w:left w:val="single" w:color="000000" w:sz="4" w:space="0"/>
              <w:bottom w:val="single" w:color="000000" w:sz="4" w:space="0"/>
              <w:right w:val="single" w:color="000000" w:sz="4" w:space="0"/>
            </w:tcBorders>
            <w:vAlign w:val="center"/>
          </w:tcPr>
          <w:p w14:paraId="01E99DE4">
            <w:pPr>
              <w:widowControl/>
              <w:jc w:val="center"/>
              <w:textAlignment w:val="center"/>
              <w:rPr>
                <w:color w:val="000000"/>
              </w:rPr>
            </w:pPr>
            <w:r>
              <w:rPr>
                <w:rFonts w:hint="eastAsia" w:cs="宋体"/>
                <w:color w:val="000000"/>
              </w:rPr>
              <w:t>预期性</w:t>
            </w:r>
          </w:p>
        </w:tc>
      </w:tr>
      <w:tr w14:paraId="3387C677">
        <w:tblPrEx>
          <w:tblCellMar>
            <w:top w:w="0" w:type="dxa"/>
            <w:left w:w="108" w:type="dxa"/>
            <w:bottom w:w="0" w:type="dxa"/>
            <w:right w:w="108" w:type="dxa"/>
          </w:tblCellMar>
        </w:tblPrEx>
        <w:trPr>
          <w:trHeight w:val="270" w:hRule="atLeast"/>
        </w:trPr>
        <w:tc>
          <w:tcPr>
            <w:tcW w:w="726" w:type="pct"/>
            <w:vMerge w:val="continue"/>
            <w:tcBorders>
              <w:left w:val="single" w:color="000000" w:sz="4" w:space="0"/>
              <w:right w:val="single" w:color="000000" w:sz="4" w:space="0"/>
            </w:tcBorders>
            <w:vAlign w:val="center"/>
          </w:tcPr>
          <w:p w14:paraId="6BBA5072">
            <w:pPr>
              <w:jc w:val="center"/>
              <w:rPr>
                <w:color w:val="000000"/>
              </w:rPr>
            </w:pPr>
          </w:p>
        </w:tc>
        <w:tc>
          <w:tcPr>
            <w:tcW w:w="406" w:type="pct"/>
            <w:tcBorders>
              <w:top w:val="single" w:color="000000" w:sz="4" w:space="0"/>
              <w:left w:val="single" w:color="000000" w:sz="4" w:space="0"/>
              <w:bottom w:val="single" w:color="000000" w:sz="4" w:space="0"/>
              <w:right w:val="single" w:color="000000" w:sz="4" w:space="0"/>
            </w:tcBorders>
            <w:vAlign w:val="center"/>
          </w:tcPr>
          <w:p w14:paraId="7A34BA52">
            <w:pPr>
              <w:widowControl/>
              <w:jc w:val="center"/>
              <w:textAlignment w:val="center"/>
              <w:rPr>
                <w:color w:val="000000"/>
              </w:rPr>
            </w:pPr>
            <w:r>
              <w:rPr>
                <w:color w:val="000000"/>
              </w:rPr>
              <w:t>6</w:t>
            </w:r>
          </w:p>
        </w:tc>
        <w:tc>
          <w:tcPr>
            <w:tcW w:w="2309" w:type="pct"/>
            <w:tcBorders>
              <w:top w:val="single" w:color="000000" w:sz="4" w:space="0"/>
              <w:left w:val="single" w:color="000000" w:sz="4" w:space="0"/>
              <w:bottom w:val="single" w:color="000000" w:sz="4" w:space="0"/>
              <w:right w:val="single" w:color="000000" w:sz="4" w:space="0"/>
            </w:tcBorders>
            <w:vAlign w:val="center"/>
          </w:tcPr>
          <w:p w14:paraId="6DEE1CD4">
            <w:pPr>
              <w:widowControl/>
              <w:jc w:val="center"/>
              <w:textAlignment w:val="center"/>
              <w:rPr>
                <w:color w:val="000000"/>
              </w:rPr>
            </w:pPr>
            <w:r>
              <w:rPr>
                <w:rFonts w:hint="eastAsia" w:cs="宋体"/>
                <w:color w:val="000000"/>
              </w:rPr>
              <w:t>高新技术产业产值占规上工业产值比重</w:t>
            </w:r>
          </w:p>
        </w:tc>
        <w:tc>
          <w:tcPr>
            <w:tcW w:w="1010" w:type="pct"/>
            <w:tcBorders>
              <w:top w:val="single" w:color="000000" w:sz="4" w:space="0"/>
              <w:left w:val="single" w:color="000000" w:sz="4" w:space="0"/>
              <w:bottom w:val="single" w:color="000000" w:sz="4" w:space="0"/>
              <w:right w:val="single" w:color="000000" w:sz="4" w:space="0"/>
            </w:tcBorders>
            <w:vAlign w:val="center"/>
          </w:tcPr>
          <w:p w14:paraId="32CC29C6">
            <w:pPr>
              <w:widowControl/>
              <w:jc w:val="center"/>
              <w:textAlignment w:val="center"/>
              <w:rPr>
                <w:rFonts w:eastAsia="方正书宋_GBK"/>
                <w:color w:val="000000"/>
              </w:rPr>
            </w:pPr>
            <w:r>
              <w:rPr>
                <w:rFonts w:eastAsia="方正书宋_GBK"/>
              </w:rPr>
              <w:t>54.5%</w:t>
            </w:r>
          </w:p>
        </w:tc>
        <w:tc>
          <w:tcPr>
            <w:tcW w:w="549" w:type="pct"/>
            <w:tcBorders>
              <w:top w:val="single" w:color="000000" w:sz="4" w:space="0"/>
              <w:left w:val="single" w:color="000000" w:sz="4" w:space="0"/>
              <w:bottom w:val="single" w:color="000000" w:sz="4" w:space="0"/>
              <w:right w:val="single" w:color="000000" w:sz="4" w:space="0"/>
            </w:tcBorders>
            <w:vAlign w:val="center"/>
          </w:tcPr>
          <w:p w14:paraId="01700C95">
            <w:pPr>
              <w:widowControl/>
              <w:jc w:val="center"/>
              <w:textAlignment w:val="center"/>
              <w:rPr>
                <w:color w:val="000000"/>
              </w:rPr>
            </w:pPr>
            <w:r>
              <w:rPr>
                <w:rFonts w:hint="eastAsia" w:cs="宋体"/>
                <w:color w:val="000000"/>
              </w:rPr>
              <w:t>预期性</w:t>
            </w:r>
          </w:p>
        </w:tc>
      </w:tr>
      <w:tr w14:paraId="65392CA8">
        <w:tblPrEx>
          <w:tblCellMar>
            <w:top w:w="0" w:type="dxa"/>
            <w:left w:w="108" w:type="dxa"/>
            <w:bottom w:w="0" w:type="dxa"/>
            <w:right w:w="108" w:type="dxa"/>
          </w:tblCellMar>
        </w:tblPrEx>
        <w:trPr>
          <w:trHeight w:val="335" w:hRule="atLeast"/>
        </w:trPr>
        <w:tc>
          <w:tcPr>
            <w:tcW w:w="726" w:type="pct"/>
            <w:vMerge w:val="continue"/>
            <w:tcBorders>
              <w:left w:val="single" w:color="000000" w:sz="4" w:space="0"/>
              <w:right w:val="single" w:color="000000" w:sz="4" w:space="0"/>
            </w:tcBorders>
            <w:vAlign w:val="center"/>
          </w:tcPr>
          <w:p w14:paraId="24F7318C">
            <w:pPr>
              <w:jc w:val="center"/>
              <w:rPr>
                <w:color w:val="000000"/>
              </w:rPr>
            </w:pPr>
          </w:p>
        </w:tc>
        <w:tc>
          <w:tcPr>
            <w:tcW w:w="406" w:type="pct"/>
            <w:tcBorders>
              <w:top w:val="single" w:color="000000" w:sz="4" w:space="0"/>
              <w:left w:val="single" w:color="000000" w:sz="4" w:space="0"/>
              <w:bottom w:val="single" w:color="000000" w:sz="4" w:space="0"/>
              <w:right w:val="single" w:color="000000" w:sz="4" w:space="0"/>
            </w:tcBorders>
            <w:vAlign w:val="center"/>
          </w:tcPr>
          <w:p w14:paraId="13258D07">
            <w:pPr>
              <w:widowControl/>
              <w:jc w:val="center"/>
              <w:textAlignment w:val="center"/>
              <w:rPr>
                <w:color w:val="000000"/>
              </w:rPr>
            </w:pPr>
            <w:r>
              <w:rPr>
                <w:color w:val="000000"/>
              </w:rPr>
              <w:t>7</w:t>
            </w:r>
          </w:p>
        </w:tc>
        <w:tc>
          <w:tcPr>
            <w:tcW w:w="2309" w:type="pct"/>
            <w:tcBorders>
              <w:top w:val="single" w:color="000000" w:sz="4" w:space="0"/>
              <w:left w:val="single" w:color="000000" w:sz="4" w:space="0"/>
              <w:bottom w:val="single" w:color="000000" w:sz="4" w:space="0"/>
              <w:right w:val="single" w:color="000000" w:sz="4" w:space="0"/>
            </w:tcBorders>
            <w:vAlign w:val="center"/>
          </w:tcPr>
          <w:p w14:paraId="0443CF31">
            <w:pPr>
              <w:widowControl/>
              <w:jc w:val="center"/>
              <w:textAlignment w:val="center"/>
              <w:rPr>
                <w:color w:val="000000"/>
              </w:rPr>
            </w:pPr>
            <w:r>
              <w:rPr>
                <w:rFonts w:hint="eastAsia" w:cs="宋体"/>
                <w:color w:val="000000"/>
              </w:rPr>
              <w:t>数字经济核心产业增加值占</w:t>
            </w:r>
            <w:r>
              <w:rPr>
                <w:color w:val="000000"/>
              </w:rPr>
              <w:t>GDP</w:t>
            </w:r>
            <w:r>
              <w:rPr>
                <w:rStyle w:val="26"/>
                <w:rFonts w:hint="eastAsia" w:ascii="Times New Roman" w:hAnsi="Times New Roman"/>
              </w:rPr>
              <w:t>比重</w:t>
            </w:r>
          </w:p>
        </w:tc>
        <w:tc>
          <w:tcPr>
            <w:tcW w:w="1010" w:type="pct"/>
            <w:tcBorders>
              <w:top w:val="single" w:color="000000" w:sz="4" w:space="0"/>
              <w:left w:val="single" w:color="000000" w:sz="4" w:space="0"/>
              <w:bottom w:val="single" w:color="000000" w:sz="4" w:space="0"/>
              <w:right w:val="single" w:color="000000" w:sz="4" w:space="0"/>
            </w:tcBorders>
            <w:vAlign w:val="center"/>
          </w:tcPr>
          <w:p w14:paraId="5E9D5EE5">
            <w:pPr>
              <w:widowControl/>
              <w:jc w:val="center"/>
              <w:textAlignment w:val="center"/>
              <w:rPr>
                <w:color w:val="000000"/>
              </w:rPr>
            </w:pPr>
            <w:r>
              <w:rPr>
                <w:rFonts w:hint="eastAsia" w:cs="宋体"/>
                <w:color w:val="000000"/>
              </w:rPr>
              <w:t>＞</w:t>
            </w:r>
            <w:r>
              <w:rPr>
                <w:color w:val="000000"/>
              </w:rPr>
              <w:t>10%</w:t>
            </w:r>
          </w:p>
        </w:tc>
        <w:tc>
          <w:tcPr>
            <w:tcW w:w="549" w:type="pct"/>
            <w:tcBorders>
              <w:top w:val="single" w:color="000000" w:sz="4" w:space="0"/>
              <w:left w:val="single" w:color="000000" w:sz="4" w:space="0"/>
              <w:bottom w:val="single" w:color="000000" w:sz="4" w:space="0"/>
              <w:right w:val="single" w:color="000000" w:sz="4" w:space="0"/>
            </w:tcBorders>
            <w:vAlign w:val="center"/>
          </w:tcPr>
          <w:p w14:paraId="4B188874">
            <w:pPr>
              <w:widowControl/>
              <w:jc w:val="center"/>
              <w:textAlignment w:val="center"/>
              <w:rPr>
                <w:color w:val="000000"/>
              </w:rPr>
            </w:pPr>
            <w:r>
              <w:rPr>
                <w:rFonts w:hint="eastAsia" w:cs="宋体"/>
                <w:color w:val="000000"/>
              </w:rPr>
              <w:t>预期性</w:t>
            </w:r>
          </w:p>
        </w:tc>
      </w:tr>
      <w:tr w14:paraId="7704354B">
        <w:tblPrEx>
          <w:tblCellMar>
            <w:top w:w="0" w:type="dxa"/>
            <w:left w:w="108" w:type="dxa"/>
            <w:bottom w:w="0" w:type="dxa"/>
            <w:right w:w="108" w:type="dxa"/>
          </w:tblCellMar>
        </w:tblPrEx>
        <w:trPr>
          <w:trHeight w:val="335" w:hRule="atLeast"/>
        </w:trPr>
        <w:tc>
          <w:tcPr>
            <w:tcW w:w="726" w:type="pct"/>
            <w:vMerge w:val="continue"/>
            <w:tcBorders>
              <w:left w:val="single" w:color="000000" w:sz="4" w:space="0"/>
              <w:right w:val="single" w:color="000000" w:sz="4" w:space="0"/>
            </w:tcBorders>
            <w:vAlign w:val="center"/>
          </w:tcPr>
          <w:p w14:paraId="6BEA2282">
            <w:pPr>
              <w:jc w:val="center"/>
              <w:rPr>
                <w:color w:val="000000"/>
              </w:rPr>
            </w:pPr>
          </w:p>
        </w:tc>
        <w:tc>
          <w:tcPr>
            <w:tcW w:w="406" w:type="pct"/>
            <w:tcBorders>
              <w:top w:val="single" w:color="000000" w:sz="4" w:space="0"/>
              <w:left w:val="single" w:color="000000" w:sz="4" w:space="0"/>
              <w:bottom w:val="single" w:color="000000" w:sz="4" w:space="0"/>
              <w:right w:val="single" w:color="000000" w:sz="4" w:space="0"/>
            </w:tcBorders>
            <w:vAlign w:val="center"/>
          </w:tcPr>
          <w:p w14:paraId="369C55F8">
            <w:pPr>
              <w:widowControl/>
              <w:jc w:val="center"/>
              <w:textAlignment w:val="center"/>
              <w:rPr>
                <w:color w:val="000000"/>
              </w:rPr>
            </w:pPr>
            <w:r>
              <w:rPr>
                <w:color w:val="000000"/>
              </w:rPr>
              <w:t>8</w:t>
            </w:r>
          </w:p>
        </w:tc>
        <w:tc>
          <w:tcPr>
            <w:tcW w:w="2309" w:type="pct"/>
            <w:tcBorders>
              <w:top w:val="single" w:color="000000" w:sz="4" w:space="0"/>
              <w:left w:val="single" w:color="000000" w:sz="4" w:space="0"/>
              <w:bottom w:val="single" w:color="000000" w:sz="4" w:space="0"/>
              <w:right w:val="single" w:color="000000" w:sz="4" w:space="0"/>
            </w:tcBorders>
            <w:vAlign w:val="center"/>
          </w:tcPr>
          <w:p w14:paraId="3EF8F431">
            <w:pPr>
              <w:widowControl/>
              <w:jc w:val="center"/>
              <w:textAlignment w:val="center"/>
              <w:rPr>
                <w:color w:val="000000"/>
              </w:rPr>
            </w:pPr>
            <w:r>
              <w:rPr>
                <w:rFonts w:hint="eastAsia" w:cs="宋体"/>
                <w:color w:val="000000"/>
              </w:rPr>
              <w:t>都市工业产值总量</w:t>
            </w:r>
          </w:p>
        </w:tc>
        <w:tc>
          <w:tcPr>
            <w:tcW w:w="1010" w:type="pct"/>
            <w:tcBorders>
              <w:top w:val="single" w:color="000000" w:sz="4" w:space="0"/>
              <w:left w:val="single" w:color="000000" w:sz="4" w:space="0"/>
              <w:bottom w:val="single" w:color="000000" w:sz="4" w:space="0"/>
              <w:right w:val="single" w:color="000000" w:sz="4" w:space="0"/>
            </w:tcBorders>
            <w:vAlign w:val="center"/>
          </w:tcPr>
          <w:p w14:paraId="30D0BFB5">
            <w:pPr>
              <w:widowControl/>
              <w:jc w:val="center"/>
              <w:textAlignment w:val="center"/>
              <w:rPr>
                <w:color w:val="000000"/>
              </w:rPr>
            </w:pPr>
            <w:r>
              <w:rPr>
                <w:color w:val="000000"/>
              </w:rPr>
              <w:t>500</w:t>
            </w:r>
            <w:r>
              <w:rPr>
                <w:rFonts w:hint="eastAsia" w:cs="宋体"/>
                <w:color w:val="000000"/>
              </w:rPr>
              <w:t>亿元</w:t>
            </w:r>
          </w:p>
        </w:tc>
        <w:tc>
          <w:tcPr>
            <w:tcW w:w="549" w:type="pct"/>
            <w:tcBorders>
              <w:top w:val="single" w:color="000000" w:sz="4" w:space="0"/>
              <w:left w:val="single" w:color="000000" w:sz="4" w:space="0"/>
              <w:bottom w:val="single" w:color="000000" w:sz="4" w:space="0"/>
              <w:right w:val="single" w:color="000000" w:sz="4" w:space="0"/>
            </w:tcBorders>
            <w:vAlign w:val="center"/>
          </w:tcPr>
          <w:p w14:paraId="613F6B01">
            <w:pPr>
              <w:widowControl/>
              <w:jc w:val="center"/>
              <w:textAlignment w:val="center"/>
              <w:rPr>
                <w:color w:val="000000"/>
              </w:rPr>
            </w:pPr>
            <w:r>
              <w:rPr>
                <w:rFonts w:hint="eastAsia" w:cs="宋体"/>
                <w:color w:val="000000"/>
              </w:rPr>
              <w:t>预期性</w:t>
            </w:r>
          </w:p>
        </w:tc>
      </w:tr>
      <w:tr w14:paraId="11F1EDA5">
        <w:tblPrEx>
          <w:tblCellMar>
            <w:top w:w="0" w:type="dxa"/>
            <w:left w:w="108" w:type="dxa"/>
            <w:bottom w:w="0" w:type="dxa"/>
            <w:right w:w="108" w:type="dxa"/>
          </w:tblCellMar>
        </w:tblPrEx>
        <w:trPr>
          <w:trHeight w:val="335" w:hRule="atLeast"/>
        </w:trPr>
        <w:tc>
          <w:tcPr>
            <w:tcW w:w="726" w:type="pct"/>
            <w:vMerge w:val="continue"/>
            <w:tcBorders>
              <w:left w:val="single" w:color="000000" w:sz="4" w:space="0"/>
              <w:bottom w:val="single" w:color="000000" w:sz="4" w:space="0"/>
              <w:right w:val="single" w:color="000000" w:sz="4" w:space="0"/>
            </w:tcBorders>
            <w:vAlign w:val="center"/>
          </w:tcPr>
          <w:p w14:paraId="0CA3C0BC">
            <w:pPr>
              <w:jc w:val="center"/>
              <w:rPr>
                <w:color w:val="000000"/>
              </w:rPr>
            </w:pPr>
          </w:p>
        </w:tc>
        <w:tc>
          <w:tcPr>
            <w:tcW w:w="406" w:type="pct"/>
            <w:tcBorders>
              <w:top w:val="single" w:color="000000" w:sz="4" w:space="0"/>
              <w:left w:val="single" w:color="000000" w:sz="4" w:space="0"/>
              <w:bottom w:val="single" w:color="000000" w:sz="4" w:space="0"/>
              <w:right w:val="single" w:color="000000" w:sz="4" w:space="0"/>
            </w:tcBorders>
            <w:vAlign w:val="center"/>
          </w:tcPr>
          <w:p w14:paraId="3505E1FF">
            <w:pPr>
              <w:widowControl/>
              <w:jc w:val="center"/>
              <w:textAlignment w:val="center"/>
              <w:rPr>
                <w:color w:val="000000"/>
              </w:rPr>
            </w:pPr>
            <w:r>
              <w:rPr>
                <w:color w:val="000000"/>
              </w:rPr>
              <w:t>9</w:t>
            </w:r>
          </w:p>
        </w:tc>
        <w:tc>
          <w:tcPr>
            <w:tcW w:w="2309" w:type="pct"/>
            <w:tcBorders>
              <w:top w:val="single" w:color="000000" w:sz="4" w:space="0"/>
              <w:left w:val="single" w:color="000000" w:sz="4" w:space="0"/>
              <w:bottom w:val="single" w:color="000000" w:sz="4" w:space="0"/>
              <w:right w:val="single" w:color="000000" w:sz="4" w:space="0"/>
            </w:tcBorders>
            <w:vAlign w:val="center"/>
          </w:tcPr>
          <w:p w14:paraId="78894610">
            <w:pPr>
              <w:widowControl/>
              <w:jc w:val="center"/>
              <w:textAlignment w:val="center"/>
              <w:rPr>
                <w:color w:val="000000"/>
              </w:rPr>
            </w:pPr>
            <w:r>
              <w:rPr>
                <w:rFonts w:hint="eastAsia" w:cs="宋体"/>
                <w:color w:val="000000"/>
              </w:rPr>
              <w:t>每万人拥有高价值发明专利数</w:t>
            </w:r>
          </w:p>
        </w:tc>
        <w:tc>
          <w:tcPr>
            <w:tcW w:w="1010" w:type="pct"/>
            <w:tcBorders>
              <w:top w:val="single" w:color="000000" w:sz="4" w:space="0"/>
              <w:left w:val="single" w:color="000000" w:sz="4" w:space="0"/>
              <w:bottom w:val="single" w:color="000000" w:sz="4" w:space="0"/>
              <w:right w:val="single" w:color="000000" w:sz="4" w:space="0"/>
            </w:tcBorders>
            <w:vAlign w:val="center"/>
          </w:tcPr>
          <w:p w14:paraId="71C012C6">
            <w:pPr>
              <w:widowControl/>
              <w:jc w:val="center"/>
              <w:textAlignment w:val="center"/>
              <w:rPr>
                <w:color w:val="000000"/>
              </w:rPr>
            </w:pPr>
            <w:r>
              <w:rPr>
                <w:color w:val="000000"/>
              </w:rPr>
              <w:t>45</w:t>
            </w:r>
            <w:r>
              <w:rPr>
                <w:rFonts w:hint="eastAsia" w:cs="宋体"/>
                <w:color w:val="000000"/>
              </w:rPr>
              <w:t>件</w:t>
            </w:r>
          </w:p>
        </w:tc>
        <w:tc>
          <w:tcPr>
            <w:tcW w:w="549" w:type="pct"/>
            <w:tcBorders>
              <w:top w:val="single" w:color="000000" w:sz="4" w:space="0"/>
              <w:left w:val="single" w:color="000000" w:sz="4" w:space="0"/>
              <w:bottom w:val="single" w:color="000000" w:sz="4" w:space="0"/>
              <w:right w:val="single" w:color="000000" w:sz="4" w:space="0"/>
            </w:tcBorders>
            <w:vAlign w:val="center"/>
          </w:tcPr>
          <w:p w14:paraId="75CA213A">
            <w:pPr>
              <w:widowControl/>
              <w:jc w:val="center"/>
              <w:textAlignment w:val="center"/>
              <w:rPr>
                <w:color w:val="000000"/>
              </w:rPr>
            </w:pPr>
            <w:r>
              <w:rPr>
                <w:rFonts w:hint="eastAsia" w:cs="宋体"/>
                <w:color w:val="000000"/>
              </w:rPr>
              <w:t>预期性</w:t>
            </w:r>
          </w:p>
        </w:tc>
      </w:tr>
      <w:tr w14:paraId="14282AB2">
        <w:tblPrEx>
          <w:tblCellMar>
            <w:top w:w="0" w:type="dxa"/>
            <w:left w:w="108" w:type="dxa"/>
            <w:bottom w:w="0" w:type="dxa"/>
            <w:right w:w="108" w:type="dxa"/>
          </w:tblCellMar>
        </w:tblPrEx>
        <w:trPr>
          <w:trHeight w:val="290" w:hRule="atLeast"/>
        </w:trPr>
        <w:tc>
          <w:tcPr>
            <w:tcW w:w="726" w:type="pct"/>
            <w:vMerge w:val="restart"/>
            <w:tcBorders>
              <w:top w:val="single" w:color="000000" w:sz="4" w:space="0"/>
              <w:left w:val="single" w:color="000000" w:sz="4" w:space="0"/>
              <w:bottom w:val="single" w:color="000000" w:sz="4" w:space="0"/>
              <w:right w:val="single" w:color="000000" w:sz="4" w:space="0"/>
            </w:tcBorders>
            <w:vAlign w:val="center"/>
          </w:tcPr>
          <w:p w14:paraId="740A4F79">
            <w:pPr>
              <w:widowControl/>
              <w:jc w:val="center"/>
              <w:textAlignment w:val="center"/>
              <w:rPr>
                <w:color w:val="000000"/>
              </w:rPr>
            </w:pPr>
            <w:r>
              <w:rPr>
                <w:rFonts w:hint="eastAsia" w:cs="宋体"/>
                <w:color w:val="000000"/>
              </w:rPr>
              <w:t>高效能的</w:t>
            </w:r>
          </w:p>
          <w:p w14:paraId="10BF3E3D">
            <w:pPr>
              <w:widowControl/>
              <w:jc w:val="center"/>
              <w:textAlignment w:val="center"/>
              <w:rPr>
                <w:color w:val="000000"/>
              </w:rPr>
            </w:pPr>
            <w:r>
              <w:rPr>
                <w:rFonts w:hint="eastAsia" w:cs="宋体"/>
                <w:color w:val="000000"/>
              </w:rPr>
              <w:t>现代化治理</w:t>
            </w:r>
          </w:p>
          <w:p w14:paraId="291CD6E7">
            <w:pPr>
              <w:widowControl/>
              <w:jc w:val="center"/>
              <w:textAlignment w:val="center"/>
              <w:rPr>
                <w:color w:val="000000"/>
              </w:rPr>
            </w:pPr>
            <w:r>
              <w:rPr>
                <w:rFonts w:hint="eastAsia" w:cs="宋体"/>
                <w:color w:val="000000"/>
              </w:rPr>
              <w:t>先行区</w:t>
            </w:r>
          </w:p>
        </w:tc>
        <w:tc>
          <w:tcPr>
            <w:tcW w:w="406" w:type="pct"/>
            <w:tcBorders>
              <w:top w:val="single" w:color="000000" w:sz="4" w:space="0"/>
              <w:left w:val="single" w:color="000000" w:sz="4" w:space="0"/>
              <w:bottom w:val="single" w:color="000000" w:sz="4" w:space="0"/>
              <w:right w:val="single" w:color="000000" w:sz="4" w:space="0"/>
            </w:tcBorders>
            <w:vAlign w:val="center"/>
          </w:tcPr>
          <w:p w14:paraId="09DEB295">
            <w:pPr>
              <w:widowControl/>
              <w:jc w:val="center"/>
              <w:textAlignment w:val="center"/>
              <w:rPr>
                <w:color w:val="000000"/>
              </w:rPr>
            </w:pPr>
            <w:r>
              <w:rPr>
                <w:color w:val="000000"/>
              </w:rPr>
              <w:t>10</w:t>
            </w:r>
          </w:p>
        </w:tc>
        <w:tc>
          <w:tcPr>
            <w:tcW w:w="2309" w:type="pct"/>
            <w:tcBorders>
              <w:top w:val="single" w:color="000000" w:sz="4" w:space="0"/>
              <w:left w:val="single" w:color="000000" w:sz="4" w:space="0"/>
              <w:bottom w:val="single" w:color="000000" w:sz="4" w:space="0"/>
              <w:right w:val="single" w:color="000000" w:sz="4" w:space="0"/>
            </w:tcBorders>
            <w:vAlign w:val="center"/>
          </w:tcPr>
          <w:p w14:paraId="437DF351">
            <w:pPr>
              <w:widowControl/>
              <w:jc w:val="center"/>
              <w:textAlignment w:val="center"/>
              <w:rPr>
                <w:color w:val="000000"/>
              </w:rPr>
            </w:pPr>
            <w:r>
              <w:rPr>
                <w:rFonts w:hint="eastAsia" w:cs="宋体"/>
                <w:color w:val="000000"/>
              </w:rPr>
              <w:t>居民人均可支配收入</w:t>
            </w:r>
          </w:p>
        </w:tc>
        <w:tc>
          <w:tcPr>
            <w:tcW w:w="1010" w:type="pct"/>
            <w:tcBorders>
              <w:top w:val="single" w:color="000000" w:sz="4" w:space="0"/>
              <w:left w:val="single" w:color="000000" w:sz="4" w:space="0"/>
              <w:bottom w:val="single" w:color="000000" w:sz="4" w:space="0"/>
              <w:right w:val="single" w:color="000000" w:sz="4" w:space="0"/>
            </w:tcBorders>
            <w:vAlign w:val="center"/>
          </w:tcPr>
          <w:p w14:paraId="6D8A53E7">
            <w:pPr>
              <w:widowControl/>
              <w:jc w:val="center"/>
              <w:textAlignment w:val="center"/>
              <w:rPr>
                <w:color w:val="000000"/>
              </w:rPr>
            </w:pPr>
            <w:r>
              <w:rPr>
                <w:rFonts w:hint="eastAsia" w:cs="宋体"/>
                <w:color w:val="000000"/>
              </w:rPr>
              <w:t>高于</w:t>
            </w:r>
            <w:r>
              <w:rPr>
                <w:color w:val="000000"/>
              </w:rPr>
              <w:t>GDP</w:t>
            </w:r>
            <w:r>
              <w:rPr>
                <w:rStyle w:val="26"/>
                <w:rFonts w:hint="eastAsia" w:ascii="Times New Roman" w:hAnsi="Times New Roman"/>
              </w:rPr>
              <w:t>增速</w:t>
            </w:r>
          </w:p>
        </w:tc>
        <w:tc>
          <w:tcPr>
            <w:tcW w:w="549" w:type="pct"/>
            <w:tcBorders>
              <w:top w:val="single" w:color="000000" w:sz="4" w:space="0"/>
              <w:left w:val="single" w:color="000000" w:sz="4" w:space="0"/>
              <w:bottom w:val="single" w:color="000000" w:sz="4" w:space="0"/>
              <w:right w:val="single" w:color="000000" w:sz="4" w:space="0"/>
            </w:tcBorders>
            <w:vAlign w:val="center"/>
          </w:tcPr>
          <w:p w14:paraId="3056D80B">
            <w:pPr>
              <w:widowControl/>
              <w:jc w:val="center"/>
              <w:textAlignment w:val="center"/>
              <w:rPr>
                <w:color w:val="000000"/>
              </w:rPr>
            </w:pPr>
            <w:r>
              <w:rPr>
                <w:rFonts w:hint="eastAsia" w:cs="宋体"/>
                <w:color w:val="000000"/>
              </w:rPr>
              <w:t>预期性</w:t>
            </w:r>
          </w:p>
        </w:tc>
      </w:tr>
      <w:tr w14:paraId="6243E592">
        <w:tblPrEx>
          <w:tblCellMar>
            <w:top w:w="0" w:type="dxa"/>
            <w:left w:w="108" w:type="dxa"/>
            <w:bottom w:w="0" w:type="dxa"/>
            <w:right w:w="108" w:type="dxa"/>
          </w:tblCellMar>
        </w:tblPrEx>
        <w:trPr>
          <w:trHeight w:val="270" w:hRule="atLeast"/>
        </w:trPr>
        <w:tc>
          <w:tcPr>
            <w:tcW w:w="726" w:type="pct"/>
            <w:vMerge w:val="continue"/>
            <w:tcBorders>
              <w:top w:val="single" w:color="000000" w:sz="4" w:space="0"/>
              <w:left w:val="single" w:color="000000" w:sz="4" w:space="0"/>
              <w:bottom w:val="single" w:color="000000" w:sz="4" w:space="0"/>
              <w:right w:val="single" w:color="000000" w:sz="4" w:space="0"/>
            </w:tcBorders>
            <w:vAlign w:val="center"/>
          </w:tcPr>
          <w:p w14:paraId="14DEDD09">
            <w:pPr>
              <w:jc w:val="center"/>
              <w:rPr>
                <w:color w:val="000000"/>
              </w:rPr>
            </w:pPr>
          </w:p>
        </w:tc>
        <w:tc>
          <w:tcPr>
            <w:tcW w:w="406" w:type="pct"/>
            <w:tcBorders>
              <w:top w:val="single" w:color="000000" w:sz="4" w:space="0"/>
              <w:left w:val="single" w:color="000000" w:sz="4" w:space="0"/>
              <w:bottom w:val="single" w:color="000000" w:sz="4" w:space="0"/>
              <w:right w:val="single" w:color="000000" w:sz="4" w:space="0"/>
            </w:tcBorders>
            <w:vAlign w:val="center"/>
          </w:tcPr>
          <w:p w14:paraId="107AC945">
            <w:pPr>
              <w:widowControl/>
              <w:jc w:val="center"/>
              <w:textAlignment w:val="center"/>
              <w:rPr>
                <w:color w:val="000000"/>
              </w:rPr>
            </w:pPr>
            <w:r>
              <w:rPr>
                <w:color w:val="000000"/>
              </w:rPr>
              <w:t>11</w:t>
            </w:r>
          </w:p>
        </w:tc>
        <w:tc>
          <w:tcPr>
            <w:tcW w:w="2309" w:type="pct"/>
            <w:tcBorders>
              <w:top w:val="single" w:color="000000" w:sz="4" w:space="0"/>
              <w:left w:val="single" w:color="000000" w:sz="4" w:space="0"/>
              <w:bottom w:val="single" w:color="000000" w:sz="4" w:space="0"/>
              <w:right w:val="single" w:color="000000" w:sz="4" w:space="0"/>
            </w:tcBorders>
            <w:vAlign w:val="center"/>
          </w:tcPr>
          <w:p w14:paraId="5FC9CC25">
            <w:pPr>
              <w:widowControl/>
              <w:jc w:val="center"/>
              <w:textAlignment w:val="center"/>
              <w:rPr>
                <w:color w:val="000000"/>
              </w:rPr>
            </w:pPr>
            <w:r>
              <w:rPr>
                <w:rFonts w:hint="eastAsia" w:cs="宋体"/>
                <w:color w:val="000000"/>
              </w:rPr>
              <w:t>义务教育优质均衡比例</w:t>
            </w:r>
          </w:p>
        </w:tc>
        <w:tc>
          <w:tcPr>
            <w:tcW w:w="1010" w:type="pct"/>
            <w:tcBorders>
              <w:top w:val="single" w:color="000000" w:sz="4" w:space="0"/>
              <w:left w:val="single" w:color="000000" w:sz="4" w:space="0"/>
              <w:bottom w:val="single" w:color="000000" w:sz="4" w:space="0"/>
              <w:right w:val="single" w:color="000000" w:sz="4" w:space="0"/>
            </w:tcBorders>
            <w:vAlign w:val="center"/>
          </w:tcPr>
          <w:p w14:paraId="78468228">
            <w:pPr>
              <w:widowControl/>
              <w:jc w:val="center"/>
              <w:textAlignment w:val="center"/>
              <w:rPr>
                <w:color w:val="000000"/>
              </w:rPr>
            </w:pPr>
            <w:r>
              <w:rPr>
                <w:color w:val="000000"/>
              </w:rPr>
              <w:t>93.7%</w:t>
            </w:r>
            <w:r>
              <w:rPr>
                <w:rStyle w:val="16"/>
              </w:rPr>
              <w:footnoteReference w:id="3"/>
            </w:r>
          </w:p>
        </w:tc>
        <w:tc>
          <w:tcPr>
            <w:tcW w:w="549" w:type="pct"/>
            <w:tcBorders>
              <w:top w:val="single" w:color="000000" w:sz="4" w:space="0"/>
              <w:left w:val="single" w:color="000000" w:sz="4" w:space="0"/>
              <w:bottom w:val="single" w:color="000000" w:sz="4" w:space="0"/>
              <w:right w:val="single" w:color="000000" w:sz="4" w:space="0"/>
            </w:tcBorders>
            <w:vAlign w:val="center"/>
          </w:tcPr>
          <w:p w14:paraId="10C936E8">
            <w:pPr>
              <w:widowControl/>
              <w:jc w:val="center"/>
              <w:textAlignment w:val="center"/>
              <w:rPr>
                <w:color w:val="000000"/>
              </w:rPr>
            </w:pPr>
            <w:r>
              <w:rPr>
                <w:rFonts w:hint="eastAsia" w:cs="宋体"/>
                <w:color w:val="000000"/>
              </w:rPr>
              <w:t>预期性</w:t>
            </w:r>
          </w:p>
        </w:tc>
      </w:tr>
      <w:tr w14:paraId="291F3C77">
        <w:tblPrEx>
          <w:tblCellMar>
            <w:top w:w="0" w:type="dxa"/>
            <w:left w:w="108" w:type="dxa"/>
            <w:bottom w:w="0" w:type="dxa"/>
            <w:right w:w="108" w:type="dxa"/>
          </w:tblCellMar>
        </w:tblPrEx>
        <w:trPr>
          <w:trHeight w:val="270" w:hRule="atLeast"/>
        </w:trPr>
        <w:tc>
          <w:tcPr>
            <w:tcW w:w="726" w:type="pct"/>
            <w:vMerge w:val="continue"/>
            <w:tcBorders>
              <w:top w:val="single" w:color="000000" w:sz="4" w:space="0"/>
              <w:left w:val="single" w:color="000000" w:sz="4" w:space="0"/>
              <w:bottom w:val="single" w:color="000000" w:sz="4" w:space="0"/>
              <w:right w:val="single" w:color="000000" w:sz="4" w:space="0"/>
            </w:tcBorders>
            <w:vAlign w:val="center"/>
          </w:tcPr>
          <w:p w14:paraId="5977180D">
            <w:pPr>
              <w:jc w:val="center"/>
              <w:rPr>
                <w:color w:val="000000"/>
              </w:rPr>
            </w:pPr>
          </w:p>
        </w:tc>
        <w:tc>
          <w:tcPr>
            <w:tcW w:w="406" w:type="pct"/>
            <w:tcBorders>
              <w:top w:val="single" w:color="000000" w:sz="4" w:space="0"/>
              <w:left w:val="single" w:color="000000" w:sz="4" w:space="0"/>
              <w:bottom w:val="single" w:color="000000" w:sz="4" w:space="0"/>
              <w:right w:val="single" w:color="000000" w:sz="4" w:space="0"/>
            </w:tcBorders>
            <w:vAlign w:val="center"/>
          </w:tcPr>
          <w:p w14:paraId="37CB7500">
            <w:pPr>
              <w:widowControl/>
              <w:jc w:val="center"/>
              <w:textAlignment w:val="center"/>
              <w:rPr>
                <w:color w:val="000000"/>
              </w:rPr>
            </w:pPr>
            <w:r>
              <w:rPr>
                <w:color w:val="000000"/>
              </w:rPr>
              <w:t>12</w:t>
            </w:r>
          </w:p>
        </w:tc>
        <w:tc>
          <w:tcPr>
            <w:tcW w:w="2309" w:type="pct"/>
            <w:tcBorders>
              <w:top w:val="single" w:color="000000" w:sz="4" w:space="0"/>
              <w:left w:val="single" w:color="000000" w:sz="4" w:space="0"/>
              <w:bottom w:val="single" w:color="000000" w:sz="4" w:space="0"/>
              <w:right w:val="single" w:color="000000" w:sz="4" w:space="0"/>
            </w:tcBorders>
            <w:vAlign w:val="center"/>
          </w:tcPr>
          <w:p w14:paraId="02FCECFF">
            <w:pPr>
              <w:widowControl/>
              <w:jc w:val="center"/>
              <w:textAlignment w:val="center"/>
              <w:rPr>
                <w:color w:val="000000"/>
              </w:rPr>
            </w:pPr>
            <w:r>
              <w:rPr>
                <w:rFonts w:hint="eastAsia" w:cs="宋体"/>
                <w:color w:val="000000"/>
              </w:rPr>
              <w:t>城镇新增就业人数</w:t>
            </w:r>
          </w:p>
        </w:tc>
        <w:tc>
          <w:tcPr>
            <w:tcW w:w="1010" w:type="pct"/>
            <w:tcBorders>
              <w:top w:val="single" w:color="000000" w:sz="4" w:space="0"/>
              <w:left w:val="single" w:color="000000" w:sz="4" w:space="0"/>
              <w:bottom w:val="single" w:color="000000" w:sz="4" w:space="0"/>
              <w:right w:val="single" w:color="000000" w:sz="4" w:space="0"/>
            </w:tcBorders>
            <w:vAlign w:val="center"/>
          </w:tcPr>
          <w:p w14:paraId="57D82DC3">
            <w:pPr>
              <w:widowControl/>
              <w:jc w:val="center"/>
              <w:textAlignment w:val="center"/>
              <w:rPr>
                <w:color w:val="000000"/>
              </w:rPr>
            </w:pPr>
            <w:r>
              <w:rPr>
                <w:color w:val="000000"/>
              </w:rPr>
              <w:t>14</w:t>
            </w:r>
            <w:r>
              <w:rPr>
                <w:rStyle w:val="26"/>
                <w:rFonts w:hint="eastAsia" w:ascii="Times New Roman" w:hAnsi="Times New Roman"/>
              </w:rPr>
              <w:t>万</w:t>
            </w:r>
          </w:p>
        </w:tc>
        <w:tc>
          <w:tcPr>
            <w:tcW w:w="549" w:type="pct"/>
            <w:tcBorders>
              <w:top w:val="single" w:color="000000" w:sz="4" w:space="0"/>
              <w:left w:val="single" w:color="000000" w:sz="4" w:space="0"/>
              <w:bottom w:val="single" w:color="000000" w:sz="4" w:space="0"/>
              <w:right w:val="single" w:color="000000" w:sz="4" w:space="0"/>
            </w:tcBorders>
            <w:vAlign w:val="center"/>
          </w:tcPr>
          <w:p w14:paraId="6EAB9932">
            <w:pPr>
              <w:widowControl/>
              <w:jc w:val="center"/>
              <w:textAlignment w:val="center"/>
              <w:rPr>
                <w:color w:val="000000"/>
              </w:rPr>
            </w:pPr>
            <w:r>
              <w:rPr>
                <w:rFonts w:hint="eastAsia" w:cs="宋体"/>
                <w:color w:val="000000"/>
              </w:rPr>
              <w:t>预期性</w:t>
            </w:r>
          </w:p>
        </w:tc>
      </w:tr>
      <w:tr w14:paraId="1DA175BF">
        <w:tblPrEx>
          <w:tblCellMar>
            <w:top w:w="0" w:type="dxa"/>
            <w:left w:w="108" w:type="dxa"/>
            <w:bottom w:w="0" w:type="dxa"/>
            <w:right w:w="108" w:type="dxa"/>
          </w:tblCellMar>
        </w:tblPrEx>
        <w:trPr>
          <w:trHeight w:val="270" w:hRule="atLeast"/>
        </w:trPr>
        <w:tc>
          <w:tcPr>
            <w:tcW w:w="726" w:type="pct"/>
            <w:vMerge w:val="continue"/>
            <w:tcBorders>
              <w:top w:val="single" w:color="000000" w:sz="4" w:space="0"/>
              <w:left w:val="single" w:color="000000" w:sz="4" w:space="0"/>
              <w:bottom w:val="single" w:color="000000" w:sz="4" w:space="0"/>
              <w:right w:val="single" w:color="000000" w:sz="4" w:space="0"/>
            </w:tcBorders>
            <w:vAlign w:val="center"/>
          </w:tcPr>
          <w:p w14:paraId="03FDC00B">
            <w:pPr>
              <w:jc w:val="center"/>
              <w:rPr>
                <w:color w:val="000000"/>
              </w:rPr>
            </w:pPr>
          </w:p>
        </w:tc>
        <w:tc>
          <w:tcPr>
            <w:tcW w:w="406" w:type="pct"/>
            <w:tcBorders>
              <w:top w:val="single" w:color="000000" w:sz="4" w:space="0"/>
              <w:left w:val="single" w:color="000000" w:sz="4" w:space="0"/>
              <w:bottom w:val="single" w:color="000000" w:sz="4" w:space="0"/>
              <w:right w:val="single" w:color="000000" w:sz="4" w:space="0"/>
            </w:tcBorders>
            <w:vAlign w:val="center"/>
          </w:tcPr>
          <w:p w14:paraId="2AA074A3">
            <w:pPr>
              <w:widowControl/>
              <w:jc w:val="center"/>
              <w:textAlignment w:val="center"/>
              <w:rPr>
                <w:color w:val="000000"/>
              </w:rPr>
            </w:pPr>
            <w:r>
              <w:rPr>
                <w:color w:val="000000"/>
              </w:rPr>
              <w:t>13</w:t>
            </w:r>
          </w:p>
        </w:tc>
        <w:tc>
          <w:tcPr>
            <w:tcW w:w="2309" w:type="pct"/>
            <w:tcBorders>
              <w:top w:val="single" w:color="000000" w:sz="4" w:space="0"/>
              <w:left w:val="single" w:color="000000" w:sz="4" w:space="0"/>
              <w:bottom w:val="single" w:color="000000" w:sz="4" w:space="0"/>
              <w:right w:val="single" w:color="000000" w:sz="4" w:space="0"/>
            </w:tcBorders>
            <w:vAlign w:val="center"/>
          </w:tcPr>
          <w:p w14:paraId="2D1C7677">
            <w:pPr>
              <w:widowControl/>
              <w:jc w:val="center"/>
              <w:textAlignment w:val="center"/>
              <w:rPr>
                <w:color w:val="000000"/>
              </w:rPr>
            </w:pPr>
            <w:r>
              <w:rPr>
                <w:rFonts w:hint="eastAsia" w:cs="宋体"/>
                <w:color w:val="000000"/>
              </w:rPr>
              <w:t>人均预期寿命</w:t>
            </w:r>
          </w:p>
        </w:tc>
        <w:tc>
          <w:tcPr>
            <w:tcW w:w="1010" w:type="pct"/>
            <w:tcBorders>
              <w:top w:val="single" w:color="000000" w:sz="4" w:space="0"/>
              <w:left w:val="single" w:color="000000" w:sz="4" w:space="0"/>
              <w:bottom w:val="single" w:color="000000" w:sz="4" w:space="0"/>
              <w:right w:val="single" w:color="000000" w:sz="4" w:space="0"/>
            </w:tcBorders>
            <w:vAlign w:val="center"/>
          </w:tcPr>
          <w:p w14:paraId="4B151F82">
            <w:pPr>
              <w:widowControl/>
              <w:jc w:val="center"/>
              <w:textAlignment w:val="center"/>
              <w:rPr>
                <w:color w:val="000000"/>
              </w:rPr>
            </w:pPr>
            <w:r>
              <w:rPr>
                <w:rFonts w:hint="eastAsia" w:cs="宋体"/>
                <w:color w:val="000000"/>
              </w:rPr>
              <w:t>超</w:t>
            </w:r>
            <w:r>
              <w:rPr>
                <w:color w:val="000000"/>
              </w:rPr>
              <w:t>80</w:t>
            </w:r>
            <w:r>
              <w:rPr>
                <w:rStyle w:val="26"/>
                <w:rFonts w:hint="eastAsia" w:ascii="Times New Roman" w:hAnsi="Times New Roman"/>
              </w:rPr>
              <w:t>岁</w:t>
            </w:r>
          </w:p>
        </w:tc>
        <w:tc>
          <w:tcPr>
            <w:tcW w:w="549" w:type="pct"/>
            <w:tcBorders>
              <w:top w:val="single" w:color="000000" w:sz="4" w:space="0"/>
              <w:left w:val="single" w:color="000000" w:sz="4" w:space="0"/>
              <w:bottom w:val="single" w:color="000000" w:sz="4" w:space="0"/>
              <w:right w:val="single" w:color="000000" w:sz="4" w:space="0"/>
            </w:tcBorders>
            <w:vAlign w:val="center"/>
          </w:tcPr>
          <w:p w14:paraId="39AD0715">
            <w:pPr>
              <w:widowControl/>
              <w:jc w:val="center"/>
              <w:textAlignment w:val="center"/>
              <w:rPr>
                <w:color w:val="000000"/>
              </w:rPr>
            </w:pPr>
            <w:r>
              <w:rPr>
                <w:rFonts w:hint="eastAsia" w:cs="宋体"/>
                <w:color w:val="000000"/>
              </w:rPr>
              <w:t>预期性</w:t>
            </w:r>
          </w:p>
        </w:tc>
      </w:tr>
      <w:tr w14:paraId="002EA1C7">
        <w:tblPrEx>
          <w:tblCellMar>
            <w:top w:w="0" w:type="dxa"/>
            <w:left w:w="108" w:type="dxa"/>
            <w:bottom w:w="0" w:type="dxa"/>
            <w:right w:w="108" w:type="dxa"/>
          </w:tblCellMar>
        </w:tblPrEx>
        <w:trPr>
          <w:trHeight w:val="270" w:hRule="atLeast"/>
        </w:trPr>
        <w:tc>
          <w:tcPr>
            <w:tcW w:w="726" w:type="pct"/>
            <w:vMerge w:val="continue"/>
            <w:tcBorders>
              <w:top w:val="single" w:color="000000" w:sz="4" w:space="0"/>
              <w:left w:val="single" w:color="000000" w:sz="4" w:space="0"/>
              <w:bottom w:val="single" w:color="000000" w:sz="4" w:space="0"/>
              <w:right w:val="single" w:color="000000" w:sz="4" w:space="0"/>
            </w:tcBorders>
            <w:vAlign w:val="center"/>
          </w:tcPr>
          <w:p w14:paraId="0F1D438D">
            <w:pPr>
              <w:jc w:val="center"/>
              <w:rPr>
                <w:color w:val="000000"/>
              </w:rPr>
            </w:pPr>
          </w:p>
        </w:tc>
        <w:tc>
          <w:tcPr>
            <w:tcW w:w="406" w:type="pct"/>
            <w:tcBorders>
              <w:top w:val="single" w:color="000000" w:sz="4" w:space="0"/>
              <w:left w:val="single" w:color="000000" w:sz="4" w:space="0"/>
              <w:bottom w:val="single" w:color="000000" w:sz="4" w:space="0"/>
              <w:right w:val="single" w:color="000000" w:sz="4" w:space="0"/>
            </w:tcBorders>
            <w:vAlign w:val="center"/>
          </w:tcPr>
          <w:p w14:paraId="1666EB66">
            <w:pPr>
              <w:widowControl/>
              <w:jc w:val="center"/>
              <w:textAlignment w:val="center"/>
              <w:rPr>
                <w:color w:val="000000"/>
              </w:rPr>
            </w:pPr>
            <w:r>
              <w:rPr>
                <w:color w:val="000000"/>
              </w:rPr>
              <w:t>14</w:t>
            </w:r>
          </w:p>
        </w:tc>
        <w:tc>
          <w:tcPr>
            <w:tcW w:w="2309" w:type="pct"/>
            <w:tcBorders>
              <w:top w:val="single" w:color="000000" w:sz="4" w:space="0"/>
              <w:left w:val="single" w:color="000000" w:sz="4" w:space="0"/>
              <w:bottom w:val="single" w:color="000000" w:sz="4" w:space="0"/>
              <w:right w:val="single" w:color="000000" w:sz="4" w:space="0"/>
            </w:tcBorders>
            <w:vAlign w:val="center"/>
          </w:tcPr>
          <w:p w14:paraId="38733540">
            <w:pPr>
              <w:widowControl/>
              <w:jc w:val="center"/>
              <w:textAlignment w:val="center"/>
              <w:rPr>
                <w:color w:val="000000"/>
              </w:rPr>
            </w:pPr>
            <w:r>
              <w:rPr>
                <w:rFonts w:hint="eastAsia" w:cs="宋体"/>
                <w:color w:val="000000"/>
              </w:rPr>
              <w:t>每千人口拥有执业（助理）医师数</w:t>
            </w:r>
          </w:p>
        </w:tc>
        <w:tc>
          <w:tcPr>
            <w:tcW w:w="1010" w:type="pct"/>
            <w:tcBorders>
              <w:top w:val="single" w:color="000000" w:sz="4" w:space="0"/>
              <w:left w:val="single" w:color="000000" w:sz="4" w:space="0"/>
              <w:bottom w:val="single" w:color="000000" w:sz="4" w:space="0"/>
              <w:right w:val="single" w:color="000000" w:sz="4" w:space="0"/>
            </w:tcBorders>
            <w:vAlign w:val="center"/>
          </w:tcPr>
          <w:p w14:paraId="3E5ADF8B">
            <w:pPr>
              <w:widowControl/>
              <w:jc w:val="center"/>
              <w:textAlignment w:val="center"/>
              <w:rPr>
                <w:color w:val="000000"/>
              </w:rPr>
            </w:pPr>
            <w:r>
              <w:rPr>
                <w:rFonts w:eastAsia="方正书宋_GBK"/>
              </w:rPr>
              <w:t>5.5</w:t>
            </w:r>
            <w:r>
              <w:rPr>
                <w:rFonts w:hint="eastAsia" w:cs="宋体"/>
                <w:color w:val="000000"/>
              </w:rPr>
              <w:t>人</w:t>
            </w:r>
          </w:p>
        </w:tc>
        <w:tc>
          <w:tcPr>
            <w:tcW w:w="549" w:type="pct"/>
            <w:tcBorders>
              <w:top w:val="single" w:color="000000" w:sz="4" w:space="0"/>
              <w:left w:val="single" w:color="000000" w:sz="4" w:space="0"/>
              <w:bottom w:val="single" w:color="000000" w:sz="4" w:space="0"/>
              <w:right w:val="single" w:color="000000" w:sz="4" w:space="0"/>
            </w:tcBorders>
            <w:vAlign w:val="center"/>
          </w:tcPr>
          <w:p w14:paraId="3CE77B92">
            <w:pPr>
              <w:widowControl/>
              <w:jc w:val="center"/>
              <w:textAlignment w:val="center"/>
              <w:rPr>
                <w:color w:val="000000"/>
              </w:rPr>
            </w:pPr>
            <w:r>
              <w:rPr>
                <w:rFonts w:hint="eastAsia" w:cs="宋体"/>
                <w:color w:val="000000"/>
              </w:rPr>
              <w:t>预期性</w:t>
            </w:r>
          </w:p>
        </w:tc>
      </w:tr>
      <w:tr w14:paraId="5EF2F7C5">
        <w:tblPrEx>
          <w:tblCellMar>
            <w:top w:w="0" w:type="dxa"/>
            <w:left w:w="108" w:type="dxa"/>
            <w:bottom w:w="0" w:type="dxa"/>
            <w:right w:w="108" w:type="dxa"/>
          </w:tblCellMar>
        </w:tblPrEx>
        <w:trPr>
          <w:trHeight w:val="270" w:hRule="atLeast"/>
        </w:trPr>
        <w:tc>
          <w:tcPr>
            <w:tcW w:w="726" w:type="pct"/>
            <w:vMerge w:val="continue"/>
            <w:tcBorders>
              <w:top w:val="single" w:color="000000" w:sz="4" w:space="0"/>
              <w:left w:val="single" w:color="000000" w:sz="4" w:space="0"/>
              <w:bottom w:val="single" w:color="000000" w:sz="4" w:space="0"/>
              <w:right w:val="single" w:color="000000" w:sz="4" w:space="0"/>
            </w:tcBorders>
            <w:vAlign w:val="center"/>
          </w:tcPr>
          <w:p w14:paraId="6CCF3794">
            <w:pPr>
              <w:jc w:val="center"/>
              <w:rPr>
                <w:color w:val="000000"/>
              </w:rPr>
            </w:pPr>
          </w:p>
        </w:tc>
        <w:tc>
          <w:tcPr>
            <w:tcW w:w="406" w:type="pct"/>
            <w:tcBorders>
              <w:top w:val="single" w:color="000000" w:sz="4" w:space="0"/>
              <w:left w:val="single" w:color="000000" w:sz="4" w:space="0"/>
              <w:bottom w:val="single" w:color="000000" w:sz="4" w:space="0"/>
              <w:right w:val="single" w:color="000000" w:sz="4" w:space="0"/>
            </w:tcBorders>
            <w:vAlign w:val="center"/>
          </w:tcPr>
          <w:p w14:paraId="644EB675">
            <w:pPr>
              <w:widowControl/>
              <w:jc w:val="center"/>
              <w:textAlignment w:val="center"/>
              <w:rPr>
                <w:color w:val="000000"/>
              </w:rPr>
            </w:pPr>
            <w:r>
              <w:rPr>
                <w:color w:val="000000"/>
              </w:rPr>
              <w:t>15</w:t>
            </w:r>
          </w:p>
        </w:tc>
        <w:tc>
          <w:tcPr>
            <w:tcW w:w="2309" w:type="pct"/>
            <w:tcBorders>
              <w:top w:val="single" w:color="000000" w:sz="4" w:space="0"/>
              <w:left w:val="single" w:color="000000" w:sz="4" w:space="0"/>
              <w:bottom w:val="single" w:color="000000" w:sz="4" w:space="0"/>
              <w:right w:val="single" w:color="000000" w:sz="4" w:space="0"/>
            </w:tcBorders>
            <w:vAlign w:val="center"/>
          </w:tcPr>
          <w:p w14:paraId="3C5C27FC">
            <w:pPr>
              <w:widowControl/>
              <w:jc w:val="center"/>
              <w:textAlignment w:val="center"/>
              <w:rPr>
                <w:color w:val="000000"/>
              </w:rPr>
            </w:pPr>
            <w:r>
              <w:rPr>
                <w:rFonts w:hint="eastAsia" w:cs="宋体"/>
                <w:color w:val="000000"/>
              </w:rPr>
              <w:t>城乡基本养老保险参保缴费率</w:t>
            </w:r>
          </w:p>
        </w:tc>
        <w:tc>
          <w:tcPr>
            <w:tcW w:w="1010" w:type="pct"/>
            <w:tcBorders>
              <w:top w:val="single" w:color="000000" w:sz="4" w:space="0"/>
              <w:left w:val="single" w:color="000000" w:sz="4" w:space="0"/>
              <w:bottom w:val="single" w:color="000000" w:sz="4" w:space="0"/>
              <w:right w:val="single" w:color="000000" w:sz="4" w:space="0"/>
            </w:tcBorders>
            <w:vAlign w:val="center"/>
          </w:tcPr>
          <w:p w14:paraId="7070CBFA">
            <w:pPr>
              <w:widowControl/>
              <w:jc w:val="center"/>
              <w:textAlignment w:val="center"/>
              <w:rPr>
                <w:color w:val="000000"/>
              </w:rPr>
            </w:pPr>
            <w:r>
              <w:rPr>
                <w:rFonts w:hint="eastAsia" w:cs="宋体"/>
                <w:color w:val="000000"/>
              </w:rPr>
              <w:t>达市要求</w:t>
            </w:r>
          </w:p>
        </w:tc>
        <w:tc>
          <w:tcPr>
            <w:tcW w:w="549" w:type="pct"/>
            <w:tcBorders>
              <w:top w:val="single" w:color="000000" w:sz="4" w:space="0"/>
              <w:left w:val="single" w:color="000000" w:sz="4" w:space="0"/>
              <w:bottom w:val="single" w:color="000000" w:sz="4" w:space="0"/>
              <w:right w:val="single" w:color="000000" w:sz="4" w:space="0"/>
            </w:tcBorders>
            <w:vAlign w:val="center"/>
          </w:tcPr>
          <w:p w14:paraId="0412E8ED">
            <w:pPr>
              <w:widowControl/>
              <w:jc w:val="center"/>
              <w:textAlignment w:val="center"/>
              <w:rPr>
                <w:color w:val="000000"/>
              </w:rPr>
            </w:pPr>
            <w:r>
              <w:rPr>
                <w:rFonts w:hint="eastAsia" w:cs="宋体"/>
                <w:color w:val="000000"/>
              </w:rPr>
              <w:t>预期性</w:t>
            </w:r>
          </w:p>
        </w:tc>
      </w:tr>
      <w:tr w14:paraId="0CBC899A">
        <w:tblPrEx>
          <w:tblCellMar>
            <w:top w:w="0" w:type="dxa"/>
            <w:left w:w="108" w:type="dxa"/>
            <w:bottom w:w="0" w:type="dxa"/>
            <w:right w:w="108" w:type="dxa"/>
          </w:tblCellMar>
        </w:tblPrEx>
        <w:trPr>
          <w:trHeight w:val="270" w:hRule="atLeast"/>
        </w:trPr>
        <w:tc>
          <w:tcPr>
            <w:tcW w:w="726" w:type="pct"/>
            <w:vMerge w:val="continue"/>
            <w:tcBorders>
              <w:top w:val="single" w:color="000000" w:sz="4" w:space="0"/>
              <w:left w:val="single" w:color="000000" w:sz="4" w:space="0"/>
              <w:bottom w:val="single" w:color="000000" w:sz="4" w:space="0"/>
              <w:right w:val="single" w:color="000000" w:sz="4" w:space="0"/>
            </w:tcBorders>
            <w:vAlign w:val="center"/>
          </w:tcPr>
          <w:p w14:paraId="049BC7F4">
            <w:pPr>
              <w:jc w:val="center"/>
              <w:rPr>
                <w:color w:val="000000"/>
              </w:rPr>
            </w:pPr>
          </w:p>
        </w:tc>
        <w:tc>
          <w:tcPr>
            <w:tcW w:w="406" w:type="pct"/>
            <w:tcBorders>
              <w:top w:val="single" w:color="000000" w:sz="4" w:space="0"/>
              <w:left w:val="single" w:color="000000" w:sz="4" w:space="0"/>
              <w:bottom w:val="single" w:color="000000" w:sz="4" w:space="0"/>
              <w:right w:val="single" w:color="000000" w:sz="4" w:space="0"/>
            </w:tcBorders>
            <w:vAlign w:val="center"/>
          </w:tcPr>
          <w:p w14:paraId="5050FE1E">
            <w:pPr>
              <w:widowControl/>
              <w:jc w:val="center"/>
              <w:textAlignment w:val="center"/>
              <w:rPr>
                <w:color w:val="000000"/>
              </w:rPr>
            </w:pPr>
            <w:r>
              <w:rPr>
                <w:color w:val="000000"/>
              </w:rPr>
              <w:t>16</w:t>
            </w:r>
          </w:p>
        </w:tc>
        <w:tc>
          <w:tcPr>
            <w:tcW w:w="2309" w:type="pct"/>
            <w:tcBorders>
              <w:top w:val="single" w:color="000000" w:sz="4" w:space="0"/>
              <w:left w:val="single" w:color="000000" w:sz="4" w:space="0"/>
              <w:bottom w:val="single" w:color="000000" w:sz="4" w:space="0"/>
              <w:right w:val="single" w:color="000000" w:sz="4" w:space="0"/>
            </w:tcBorders>
            <w:vAlign w:val="center"/>
          </w:tcPr>
          <w:p w14:paraId="3720F2D4">
            <w:pPr>
              <w:widowControl/>
              <w:jc w:val="center"/>
              <w:textAlignment w:val="center"/>
              <w:rPr>
                <w:color w:val="000000"/>
              </w:rPr>
            </w:pPr>
            <w:r>
              <w:rPr>
                <w:rFonts w:hint="eastAsia" w:cs="宋体"/>
                <w:color w:val="000000"/>
              </w:rPr>
              <w:t>居家社区养老服务高质量发展达标率</w:t>
            </w:r>
          </w:p>
        </w:tc>
        <w:tc>
          <w:tcPr>
            <w:tcW w:w="1010" w:type="pct"/>
            <w:tcBorders>
              <w:top w:val="single" w:color="000000" w:sz="4" w:space="0"/>
              <w:left w:val="single" w:color="000000" w:sz="4" w:space="0"/>
              <w:bottom w:val="single" w:color="000000" w:sz="4" w:space="0"/>
              <w:right w:val="single" w:color="000000" w:sz="4" w:space="0"/>
            </w:tcBorders>
            <w:vAlign w:val="center"/>
          </w:tcPr>
          <w:p w14:paraId="461BF68D">
            <w:pPr>
              <w:widowControl/>
              <w:jc w:val="center"/>
              <w:textAlignment w:val="center"/>
              <w:rPr>
                <w:color w:val="000000"/>
              </w:rPr>
            </w:pPr>
            <w:r>
              <w:rPr>
                <w:color w:val="000000"/>
              </w:rPr>
              <w:t>80%</w:t>
            </w:r>
          </w:p>
        </w:tc>
        <w:tc>
          <w:tcPr>
            <w:tcW w:w="549" w:type="pct"/>
            <w:tcBorders>
              <w:top w:val="single" w:color="000000" w:sz="4" w:space="0"/>
              <w:left w:val="single" w:color="000000" w:sz="4" w:space="0"/>
              <w:bottom w:val="single" w:color="000000" w:sz="4" w:space="0"/>
              <w:right w:val="single" w:color="000000" w:sz="4" w:space="0"/>
            </w:tcBorders>
            <w:vAlign w:val="center"/>
          </w:tcPr>
          <w:p w14:paraId="04F6AD3C">
            <w:pPr>
              <w:widowControl/>
              <w:jc w:val="center"/>
              <w:textAlignment w:val="center"/>
              <w:rPr>
                <w:color w:val="000000"/>
              </w:rPr>
            </w:pPr>
            <w:r>
              <w:rPr>
                <w:rFonts w:hint="eastAsia" w:cs="宋体"/>
                <w:color w:val="000000"/>
              </w:rPr>
              <w:t>预期性</w:t>
            </w:r>
          </w:p>
        </w:tc>
      </w:tr>
      <w:tr w14:paraId="5CE672D4">
        <w:tblPrEx>
          <w:tblCellMar>
            <w:top w:w="0" w:type="dxa"/>
            <w:left w:w="108" w:type="dxa"/>
            <w:bottom w:w="0" w:type="dxa"/>
            <w:right w:w="108" w:type="dxa"/>
          </w:tblCellMar>
        </w:tblPrEx>
        <w:trPr>
          <w:trHeight w:val="270" w:hRule="atLeast"/>
        </w:trPr>
        <w:tc>
          <w:tcPr>
            <w:tcW w:w="726" w:type="pct"/>
            <w:vMerge w:val="continue"/>
            <w:tcBorders>
              <w:top w:val="single" w:color="000000" w:sz="4" w:space="0"/>
              <w:left w:val="single" w:color="000000" w:sz="4" w:space="0"/>
              <w:bottom w:val="single" w:color="000000" w:sz="4" w:space="0"/>
              <w:right w:val="single" w:color="000000" w:sz="4" w:space="0"/>
            </w:tcBorders>
            <w:vAlign w:val="center"/>
          </w:tcPr>
          <w:p w14:paraId="2ED84776">
            <w:pPr>
              <w:jc w:val="center"/>
              <w:rPr>
                <w:color w:val="000000"/>
              </w:rPr>
            </w:pPr>
          </w:p>
        </w:tc>
        <w:tc>
          <w:tcPr>
            <w:tcW w:w="406" w:type="pct"/>
            <w:tcBorders>
              <w:top w:val="single" w:color="000000" w:sz="4" w:space="0"/>
              <w:left w:val="single" w:color="000000" w:sz="4" w:space="0"/>
              <w:bottom w:val="single" w:color="000000" w:sz="4" w:space="0"/>
              <w:right w:val="single" w:color="000000" w:sz="4" w:space="0"/>
            </w:tcBorders>
            <w:vAlign w:val="center"/>
          </w:tcPr>
          <w:p w14:paraId="3DF88EC3">
            <w:pPr>
              <w:widowControl/>
              <w:jc w:val="center"/>
              <w:textAlignment w:val="center"/>
              <w:rPr>
                <w:color w:val="000000"/>
              </w:rPr>
            </w:pPr>
            <w:r>
              <w:rPr>
                <w:color w:val="000000"/>
              </w:rPr>
              <w:t>17</w:t>
            </w:r>
          </w:p>
        </w:tc>
        <w:tc>
          <w:tcPr>
            <w:tcW w:w="2309" w:type="pct"/>
            <w:tcBorders>
              <w:top w:val="single" w:color="000000" w:sz="4" w:space="0"/>
              <w:left w:val="single" w:color="000000" w:sz="4" w:space="0"/>
              <w:bottom w:val="single" w:color="000000" w:sz="4" w:space="0"/>
              <w:right w:val="single" w:color="000000" w:sz="4" w:space="0"/>
            </w:tcBorders>
            <w:vAlign w:val="center"/>
          </w:tcPr>
          <w:p w14:paraId="2F400FC1">
            <w:pPr>
              <w:widowControl/>
              <w:jc w:val="center"/>
              <w:textAlignment w:val="center"/>
              <w:rPr>
                <w:color w:val="000000"/>
              </w:rPr>
            </w:pPr>
            <w:r>
              <w:rPr>
                <w:rFonts w:hint="eastAsia" w:cs="宋体"/>
                <w:color w:val="000000"/>
              </w:rPr>
              <w:t>人均接受文化场馆服务次数</w:t>
            </w:r>
          </w:p>
        </w:tc>
        <w:tc>
          <w:tcPr>
            <w:tcW w:w="1010" w:type="pct"/>
            <w:tcBorders>
              <w:top w:val="single" w:color="000000" w:sz="4" w:space="0"/>
              <w:left w:val="single" w:color="000000" w:sz="4" w:space="0"/>
              <w:bottom w:val="single" w:color="000000" w:sz="4" w:space="0"/>
              <w:right w:val="single" w:color="000000" w:sz="4" w:space="0"/>
            </w:tcBorders>
            <w:vAlign w:val="center"/>
          </w:tcPr>
          <w:p w14:paraId="3C33B597">
            <w:pPr>
              <w:widowControl/>
              <w:jc w:val="center"/>
              <w:textAlignment w:val="center"/>
              <w:rPr>
                <w:color w:val="000000"/>
              </w:rPr>
            </w:pPr>
            <w:r>
              <w:rPr>
                <w:color w:val="000000"/>
              </w:rPr>
              <w:t>10</w:t>
            </w:r>
          </w:p>
        </w:tc>
        <w:tc>
          <w:tcPr>
            <w:tcW w:w="549" w:type="pct"/>
            <w:tcBorders>
              <w:top w:val="single" w:color="000000" w:sz="4" w:space="0"/>
              <w:left w:val="single" w:color="000000" w:sz="4" w:space="0"/>
              <w:bottom w:val="single" w:color="000000" w:sz="4" w:space="0"/>
              <w:right w:val="single" w:color="000000" w:sz="4" w:space="0"/>
            </w:tcBorders>
            <w:vAlign w:val="center"/>
          </w:tcPr>
          <w:p w14:paraId="2EFD5B13">
            <w:pPr>
              <w:widowControl/>
              <w:jc w:val="center"/>
              <w:textAlignment w:val="center"/>
              <w:rPr>
                <w:color w:val="000000"/>
              </w:rPr>
            </w:pPr>
            <w:r>
              <w:rPr>
                <w:rFonts w:hint="eastAsia" w:cs="宋体"/>
                <w:color w:val="000000"/>
              </w:rPr>
              <w:t>预期性</w:t>
            </w:r>
          </w:p>
        </w:tc>
      </w:tr>
      <w:tr w14:paraId="33DF95F7">
        <w:tblPrEx>
          <w:tblCellMar>
            <w:top w:w="0" w:type="dxa"/>
            <w:left w:w="108" w:type="dxa"/>
            <w:bottom w:w="0" w:type="dxa"/>
            <w:right w:w="108" w:type="dxa"/>
          </w:tblCellMar>
        </w:tblPrEx>
        <w:trPr>
          <w:trHeight w:val="270" w:hRule="atLeast"/>
        </w:trPr>
        <w:tc>
          <w:tcPr>
            <w:tcW w:w="726" w:type="pct"/>
            <w:vMerge w:val="continue"/>
            <w:tcBorders>
              <w:top w:val="single" w:color="000000" w:sz="4" w:space="0"/>
              <w:left w:val="single" w:color="000000" w:sz="4" w:space="0"/>
              <w:bottom w:val="single" w:color="000000" w:sz="4" w:space="0"/>
              <w:right w:val="single" w:color="000000" w:sz="4" w:space="0"/>
            </w:tcBorders>
            <w:vAlign w:val="center"/>
          </w:tcPr>
          <w:p w14:paraId="0B03C7BE">
            <w:pPr>
              <w:jc w:val="center"/>
              <w:rPr>
                <w:color w:val="000000"/>
              </w:rPr>
            </w:pPr>
          </w:p>
        </w:tc>
        <w:tc>
          <w:tcPr>
            <w:tcW w:w="406" w:type="pct"/>
            <w:tcBorders>
              <w:top w:val="single" w:color="000000" w:sz="4" w:space="0"/>
              <w:left w:val="single" w:color="000000" w:sz="4" w:space="0"/>
              <w:bottom w:val="single" w:color="000000" w:sz="4" w:space="0"/>
              <w:right w:val="single" w:color="000000" w:sz="4" w:space="0"/>
            </w:tcBorders>
            <w:vAlign w:val="center"/>
          </w:tcPr>
          <w:p w14:paraId="52E36F25">
            <w:pPr>
              <w:widowControl/>
              <w:jc w:val="center"/>
              <w:textAlignment w:val="center"/>
              <w:rPr>
                <w:color w:val="000000"/>
              </w:rPr>
            </w:pPr>
            <w:r>
              <w:rPr>
                <w:color w:val="000000"/>
              </w:rPr>
              <w:t>18</w:t>
            </w:r>
          </w:p>
        </w:tc>
        <w:tc>
          <w:tcPr>
            <w:tcW w:w="2309" w:type="pct"/>
            <w:tcBorders>
              <w:top w:val="single" w:color="000000" w:sz="4" w:space="0"/>
              <w:left w:val="single" w:color="000000" w:sz="4" w:space="0"/>
              <w:bottom w:val="single" w:color="000000" w:sz="4" w:space="0"/>
              <w:right w:val="single" w:color="000000" w:sz="4" w:space="0"/>
            </w:tcBorders>
            <w:vAlign w:val="center"/>
          </w:tcPr>
          <w:p w14:paraId="7F432E6C">
            <w:pPr>
              <w:widowControl/>
              <w:jc w:val="center"/>
              <w:textAlignment w:val="center"/>
              <w:rPr>
                <w:color w:val="000000"/>
              </w:rPr>
            </w:pPr>
            <w:r>
              <w:rPr>
                <w:rFonts w:hint="eastAsia" w:cs="宋体"/>
                <w:color w:val="000000"/>
              </w:rPr>
              <w:t>社会文明程度测评指数</w:t>
            </w:r>
          </w:p>
        </w:tc>
        <w:tc>
          <w:tcPr>
            <w:tcW w:w="1010" w:type="pct"/>
            <w:tcBorders>
              <w:top w:val="single" w:color="000000" w:sz="4" w:space="0"/>
              <w:left w:val="single" w:color="000000" w:sz="4" w:space="0"/>
              <w:bottom w:val="single" w:color="000000" w:sz="4" w:space="0"/>
              <w:right w:val="single" w:color="000000" w:sz="4" w:space="0"/>
            </w:tcBorders>
            <w:vAlign w:val="center"/>
          </w:tcPr>
          <w:p w14:paraId="6BC8449D">
            <w:pPr>
              <w:widowControl/>
              <w:jc w:val="center"/>
              <w:textAlignment w:val="center"/>
              <w:rPr>
                <w:color w:val="000000"/>
              </w:rPr>
            </w:pPr>
            <w:r>
              <w:rPr>
                <w:color w:val="000000"/>
              </w:rPr>
              <w:t>≥90%</w:t>
            </w:r>
          </w:p>
        </w:tc>
        <w:tc>
          <w:tcPr>
            <w:tcW w:w="549" w:type="pct"/>
            <w:tcBorders>
              <w:top w:val="single" w:color="000000" w:sz="4" w:space="0"/>
              <w:left w:val="single" w:color="000000" w:sz="4" w:space="0"/>
              <w:bottom w:val="single" w:color="000000" w:sz="4" w:space="0"/>
              <w:right w:val="single" w:color="000000" w:sz="4" w:space="0"/>
            </w:tcBorders>
            <w:vAlign w:val="center"/>
          </w:tcPr>
          <w:p w14:paraId="193B1651">
            <w:pPr>
              <w:widowControl/>
              <w:jc w:val="center"/>
              <w:textAlignment w:val="center"/>
              <w:rPr>
                <w:color w:val="000000"/>
              </w:rPr>
            </w:pPr>
            <w:r>
              <w:rPr>
                <w:rFonts w:hint="eastAsia" w:cs="宋体"/>
                <w:color w:val="000000"/>
              </w:rPr>
              <w:t>预期性</w:t>
            </w:r>
          </w:p>
        </w:tc>
      </w:tr>
      <w:tr w14:paraId="54FA3BDE">
        <w:tblPrEx>
          <w:tblCellMar>
            <w:top w:w="0" w:type="dxa"/>
            <w:left w:w="108" w:type="dxa"/>
            <w:bottom w:w="0" w:type="dxa"/>
            <w:right w:w="108" w:type="dxa"/>
          </w:tblCellMar>
        </w:tblPrEx>
        <w:trPr>
          <w:trHeight w:val="270" w:hRule="atLeast"/>
        </w:trPr>
        <w:tc>
          <w:tcPr>
            <w:tcW w:w="726" w:type="pct"/>
            <w:vMerge w:val="continue"/>
            <w:tcBorders>
              <w:top w:val="single" w:color="000000" w:sz="4" w:space="0"/>
              <w:left w:val="single" w:color="000000" w:sz="4" w:space="0"/>
              <w:bottom w:val="single" w:color="000000" w:sz="4" w:space="0"/>
              <w:right w:val="single" w:color="000000" w:sz="4" w:space="0"/>
            </w:tcBorders>
            <w:vAlign w:val="center"/>
          </w:tcPr>
          <w:p w14:paraId="192BF40A">
            <w:pPr>
              <w:jc w:val="center"/>
              <w:rPr>
                <w:color w:val="000000"/>
              </w:rPr>
            </w:pPr>
          </w:p>
        </w:tc>
        <w:tc>
          <w:tcPr>
            <w:tcW w:w="406" w:type="pct"/>
            <w:tcBorders>
              <w:top w:val="single" w:color="000000" w:sz="4" w:space="0"/>
              <w:left w:val="single" w:color="000000" w:sz="4" w:space="0"/>
              <w:bottom w:val="single" w:color="000000" w:sz="4" w:space="0"/>
              <w:right w:val="single" w:color="000000" w:sz="4" w:space="0"/>
            </w:tcBorders>
            <w:vAlign w:val="center"/>
          </w:tcPr>
          <w:p w14:paraId="6FBE5E6A">
            <w:pPr>
              <w:widowControl/>
              <w:jc w:val="center"/>
              <w:textAlignment w:val="center"/>
              <w:rPr>
                <w:color w:val="000000"/>
              </w:rPr>
            </w:pPr>
            <w:r>
              <w:rPr>
                <w:color w:val="000000"/>
              </w:rPr>
              <w:t>19</w:t>
            </w:r>
          </w:p>
        </w:tc>
        <w:tc>
          <w:tcPr>
            <w:tcW w:w="2309" w:type="pct"/>
            <w:tcBorders>
              <w:top w:val="single" w:color="000000" w:sz="4" w:space="0"/>
              <w:left w:val="single" w:color="000000" w:sz="4" w:space="0"/>
              <w:bottom w:val="single" w:color="000000" w:sz="4" w:space="0"/>
              <w:right w:val="single" w:color="000000" w:sz="4" w:space="0"/>
            </w:tcBorders>
            <w:vAlign w:val="center"/>
          </w:tcPr>
          <w:p w14:paraId="71346806">
            <w:pPr>
              <w:widowControl/>
              <w:jc w:val="center"/>
              <w:textAlignment w:val="center"/>
              <w:rPr>
                <w:color w:val="000000"/>
              </w:rPr>
            </w:pPr>
            <w:r>
              <w:rPr>
                <w:rFonts w:hint="eastAsia" w:cs="宋体"/>
                <w:color w:val="000000"/>
              </w:rPr>
              <w:t>法治建设满意度</w:t>
            </w:r>
          </w:p>
        </w:tc>
        <w:tc>
          <w:tcPr>
            <w:tcW w:w="1010" w:type="pct"/>
            <w:tcBorders>
              <w:top w:val="single" w:color="000000" w:sz="4" w:space="0"/>
              <w:left w:val="single" w:color="000000" w:sz="4" w:space="0"/>
              <w:bottom w:val="single" w:color="000000" w:sz="4" w:space="0"/>
              <w:right w:val="single" w:color="000000" w:sz="4" w:space="0"/>
            </w:tcBorders>
            <w:vAlign w:val="center"/>
          </w:tcPr>
          <w:p w14:paraId="04A522CF">
            <w:pPr>
              <w:widowControl/>
              <w:jc w:val="center"/>
              <w:textAlignment w:val="center"/>
              <w:rPr>
                <w:color w:val="000000"/>
              </w:rPr>
            </w:pPr>
            <w:r>
              <w:rPr>
                <w:color w:val="000000"/>
              </w:rPr>
              <w:t>≥90%</w:t>
            </w:r>
          </w:p>
        </w:tc>
        <w:tc>
          <w:tcPr>
            <w:tcW w:w="549" w:type="pct"/>
            <w:tcBorders>
              <w:top w:val="single" w:color="000000" w:sz="4" w:space="0"/>
              <w:left w:val="single" w:color="000000" w:sz="4" w:space="0"/>
              <w:bottom w:val="single" w:color="000000" w:sz="4" w:space="0"/>
              <w:right w:val="single" w:color="000000" w:sz="4" w:space="0"/>
            </w:tcBorders>
            <w:vAlign w:val="center"/>
          </w:tcPr>
          <w:p w14:paraId="321C626F">
            <w:pPr>
              <w:widowControl/>
              <w:jc w:val="center"/>
              <w:textAlignment w:val="center"/>
              <w:rPr>
                <w:color w:val="000000"/>
              </w:rPr>
            </w:pPr>
            <w:r>
              <w:rPr>
                <w:rFonts w:hint="eastAsia" w:cs="宋体"/>
                <w:color w:val="000000"/>
              </w:rPr>
              <w:t>预期性</w:t>
            </w:r>
          </w:p>
        </w:tc>
      </w:tr>
      <w:tr w14:paraId="5D0B06A9">
        <w:tblPrEx>
          <w:tblCellMar>
            <w:top w:w="0" w:type="dxa"/>
            <w:left w:w="108" w:type="dxa"/>
            <w:bottom w:w="0" w:type="dxa"/>
            <w:right w:w="108" w:type="dxa"/>
          </w:tblCellMar>
        </w:tblPrEx>
        <w:trPr>
          <w:trHeight w:val="270" w:hRule="atLeast"/>
        </w:trPr>
        <w:tc>
          <w:tcPr>
            <w:tcW w:w="726" w:type="pct"/>
            <w:vMerge w:val="continue"/>
            <w:tcBorders>
              <w:top w:val="single" w:color="000000" w:sz="4" w:space="0"/>
              <w:left w:val="single" w:color="000000" w:sz="4" w:space="0"/>
              <w:bottom w:val="single" w:color="000000" w:sz="4" w:space="0"/>
              <w:right w:val="single" w:color="000000" w:sz="4" w:space="0"/>
            </w:tcBorders>
            <w:vAlign w:val="center"/>
          </w:tcPr>
          <w:p w14:paraId="3AF68CAF">
            <w:pPr>
              <w:jc w:val="center"/>
              <w:rPr>
                <w:color w:val="000000"/>
              </w:rPr>
            </w:pPr>
          </w:p>
        </w:tc>
        <w:tc>
          <w:tcPr>
            <w:tcW w:w="406" w:type="pct"/>
            <w:tcBorders>
              <w:top w:val="single" w:color="000000" w:sz="4" w:space="0"/>
              <w:left w:val="single" w:color="000000" w:sz="4" w:space="0"/>
              <w:bottom w:val="single" w:color="000000" w:sz="4" w:space="0"/>
              <w:right w:val="single" w:color="000000" w:sz="4" w:space="0"/>
            </w:tcBorders>
            <w:vAlign w:val="center"/>
          </w:tcPr>
          <w:p w14:paraId="14CC3D1D">
            <w:pPr>
              <w:widowControl/>
              <w:jc w:val="center"/>
              <w:textAlignment w:val="center"/>
              <w:rPr>
                <w:color w:val="000000"/>
              </w:rPr>
            </w:pPr>
            <w:r>
              <w:rPr>
                <w:color w:val="000000"/>
              </w:rPr>
              <w:t>20</w:t>
            </w:r>
          </w:p>
        </w:tc>
        <w:tc>
          <w:tcPr>
            <w:tcW w:w="2309" w:type="pct"/>
            <w:tcBorders>
              <w:top w:val="single" w:color="000000" w:sz="4" w:space="0"/>
              <w:left w:val="single" w:color="000000" w:sz="4" w:space="0"/>
              <w:bottom w:val="single" w:color="000000" w:sz="4" w:space="0"/>
              <w:right w:val="single" w:color="000000" w:sz="4" w:space="0"/>
            </w:tcBorders>
            <w:vAlign w:val="center"/>
          </w:tcPr>
          <w:p w14:paraId="00FC2C19">
            <w:pPr>
              <w:widowControl/>
              <w:jc w:val="center"/>
              <w:textAlignment w:val="center"/>
              <w:rPr>
                <w:color w:val="000000"/>
              </w:rPr>
            </w:pPr>
            <w:r>
              <w:rPr>
                <w:rFonts w:hint="eastAsia" w:cs="宋体"/>
                <w:color w:val="000000"/>
              </w:rPr>
              <w:t>生产安全事故发生数下降</w:t>
            </w:r>
          </w:p>
        </w:tc>
        <w:tc>
          <w:tcPr>
            <w:tcW w:w="1010" w:type="pct"/>
            <w:tcBorders>
              <w:top w:val="single" w:color="000000" w:sz="4" w:space="0"/>
              <w:left w:val="single" w:color="000000" w:sz="4" w:space="0"/>
              <w:bottom w:val="single" w:color="000000" w:sz="4" w:space="0"/>
              <w:right w:val="single" w:color="000000" w:sz="4" w:space="0"/>
            </w:tcBorders>
            <w:vAlign w:val="center"/>
          </w:tcPr>
          <w:p w14:paraId="381F4E2A">
            <w:pPr>
              <w:widowControl/>
              <w:jc w:val="center"/>
              <w:textAlignment w:val="center"/>
              <w:rPr>
                <w:color w:val="000000"/>
              </w:rPr>
            </w:pPr>
            <w:r>
              <w:rPr>
                <w:rFonts w:hint="eastAsia" w:cs="宋体"/>
                <w:color w:val="000000"/>
              </w:rPr>
              <w:t>达市要求</w:t>
            </w:r>
          </w:p>
        </w:tc>
        <w:tc>
          <w:tcPr>
            <w:tcW w:w="549" w:type="pct"/>
            <w:tcBorders>
              <w:top w:val="single" w:color="000000" w:sz="4" w:space="0"/>
              <w:left w:val="single" w:color="000000" w:sz="4" w:space="0"/>
              <w:bottom w:val="single" w:color="000000" w:sz="4" w:space="0"/>
              <w:right w:val="single" w:color="000000" w:sz="4" w:space="0"/>
            </w:tcBorders>
            <w:vAlign w:val="center"/>
          </w:tcPr>
          <w:p w14:paraId="2D681D46">
            <w:pPr>
              <w:widowControl/>
              <w:jc w:val="center"/>
              <w:textAlignment w:val="center"/>
              <w:rPr>
                <w:color w:val="000000"/>
              </w:rPr>
            </w:pPr>
            <w:r>
              <w:rPr>
                <w:rFonts w:hint="eastAsia" w:cs="宋体"/>
                <w:color w:val="000000"/>
              </w:rPr>
              <w:t>约束性</w:t>
            </w:r>
          </w:p>
        </w:tc>
      </w:tr>
      <w:tr w14:paraId="19654CD7">
        <w:tblPrEx>
          <w:tblCellMar>
            <w:top w:w="0" w:type="dxa"/>
            <w:left w:w="108" w:type="dxa"/>
            <w:bottom w:w="0" w:type="dxa"/>
            <w:right w:w="108" w:type="dxa"/>
          </w:tblCellMar>
        </w:tblPrEx>
        <w:trPr>
          <w:trHeight w:val="270" w:hRule="atLeast"/>
        </w:trPr>
        <w:tc>
          <w:tcPr>
            <w:tcW w:w="726" w:type="pct"/>
            <w:vMerge w:val="continue"/>
            <w:tcBorders>
              <w:top w:val="single" w:color="000000" w:sz="4" w:space="0"/>
              <w:left w:val="single" w:color="000000" w:sz="4" w:space="0"/>
              <w:bottom w:val="single" w:color="000000" w:sz="4" w:space="0"/>
              <w:right w:val="single" w:color="000000" w:sz="4" w:space="0"/>
            </w:tcBorders>
            <w:vAlign w:val="center"/>
          </w:tcPr>
          <w:p w14:paraId="42CDF6CF">
            <w:pPr>
              <w:jc w:val="center"/>
              <w:rPr>
                <w:color w:val="000000"/>
              </w:rPr>
            </w:pPr>
          </w:p>
        </w:tc>
        <w:tc>
          <w:tcPr>
            <w:tcW w:w="406" w:type="pct"/>
            <w:tcBorders>
              <w:top w:val="single" w:color="000000" w:sz="4" w:space="0"/>
              <w:left w:val="single" w:color="000000" w:sz="4" w:space="0"/>
              <w:bottom w:val="single" w:color="000000" w:sz="4" w:space="0"/>
              <w:right w:val="single" w:color="000000" w:sz="4" w:space="0"/>
            </w:tcBorders>
            <w:vAlign w:val="center"/>
          </w:tcPr>
          <w:p w14:paraId="72253970">
            <w:pPr>
              <w:widowControl/>
              <w:jc w:val="center"/>
              <w:textAlignment w:val="center"/>
              <w:rPr>
                <w:color w:val="000000"/>
              </w:rPr>
            </w:pPr>
            <w:r>
              <w:rPr>
                <w:color w:val="000000"/>
              </w:rPr>
              <w:t>21</w:t>
            </w:r>
          </w:p>
        </w:tc>
        <w:tc>
          <w:tcPr>
            <w:tcW w:w="2309" w:type="pct"/>
            <w:tcBorders>
              <w:top w:val="single" w:color="000000" w:sz="4" w:space="0"/>
              <w:left w:val="single" w:color="000000" w:sz="4" w:space="0"/>
              <w:bottom w:val="single" w:color="000000" w:sz="4" w:space="0"/>
              <w:right w:val="single" w:color="000000" w:sz="4" w:space="0"/>
            </w:tcBorders>
            <w:vAlign w:val="center"/>
          </w:tcPr>
          <w:p w14:paraId="2558816B">
            <w:pPr>
              <w:widowControl/>
              <w:jc w:val="center"/>
              <w:textAlignment w:val="center"/>
              <w:rPr>
                <w:color w:val="000000"/>
              </w:rPr>
            </w:pPr>
            <w:r>
              <w:rPr>
                <w:rFonts w:hint="eastAsia" w:cs="宋体"/>
                <w:color w:val="000000"/>
              </w:rPr>
              <w:t>公众安全感</w:t>
            </w:r>
          </w:p>
        </w:tc>
        <w:tc>
          <w:tcPr>
            <w:tcW w:w="1010" w:type="pct"/>
            <w:tcBorders>
              <w:top w:val="single" w:color="000000" w:sz="4" w:space="0"/>
              <w:left w:val="single" w:color="000000" w:sz="4" w:space="0"/>
              <w:bottom w:val="single" w:color="000000" w:sz="4" w:space="0"/>
              <w:right w:val="single" w:color="000000" w:sz="4" w:space="0"/>
            </w:tcBorders>
            <w:vAlign w:val="center"/>
          </w:tcPr>
          <w:p w14:paraId="29121EBC">
            <w:pPr>
              <w:widowControl/>
              <w:jc w:val="center"/>
              <w:textAlignment w:val="center"/>
              <w:rPr>
                <w:color w:val="000000"/>
              </w:rPr>
            </w:pPr>
            <w:r>
              <w:rPr>
                <w:color w:val="000000"/>
              </w:rPr>
              <w:t>95%</w:t>
            </w:r>
          </w:p>
        </w:tc>
        <w:tc>
          <w:tcPr>
            <w:tcW w:w="549" w:type="pct"/>
            <w:tcBorders>
              <w:top w:val="single" w:color="000000" w:sz="4" w:space="0"/>
              <w:left w:val="single" w:color="000000" w:sz="4" w:space="0"/>
              <w:bottom w:val="single" w:color="000000" w:sz="4" w:space="0"/>
              <w:right w:val="single" w:color="000000" w:sz="4" w:space="0"/>
            </w:tcBorders>
            <w:vAlign w:val="center"/>
          </w:tcPr>
          <w:p w14:paraId="520ED601">
            <w:pPr>
              <w:widowControl/>
              <w:jc w:val="center"/>
              <w:textAlignment w:val="center"/>
              <w:rPr>
                <w:color w:val="000000"/>
              </w:rPr>
            </w:pPr>
            <w:r>
              <w:rPr>
                <w:rFonts w:hint="eastAsia" w:cs="宋体"/>
                <w:color w:val="000000"/>
              </w:rPr>
              <w:t>预期性</w:t>
            </w:r>
          </w:p>
        </w:tc>
      </w:tr>
      <w:tr w14:paraId="19A4F210">
        <w:tblPrEx>
          <w:tblCellMar>
            <w:top w:w="0" w:type="dxa"/>
            <w:left w:w="108" w:type="dxa"/>
            <w:bottom w:w="0" w:type="dxa"/>
            <w:right w:w="108" w:type="dxa"/>
          </w:tblCellMar>
        </w:tblPrEx>
        <w:trPr>
          <w:trHeight w:val="270" w:hRule="atLeast"/>
        </w:trPr>
        <w:tc>
          <w:tcPr>
            <w:tcW w:w="726" w:type="pct"/>
            <w:vMerge w:val="restart"/>
            <w:tcBorders>
              <w:top w:val="single" w:color="000000" w:sz="4" w:space="0"/>
              <w:left w:val="single" w:color="000000" w:sz="4" w:space="0"/>
              <w:bottom w:val="single" w:color="000000" w:sz="4" w:space="0"/>
              <w:right w:val="single" w:color="000000" w:sz="4" w:space="0"/>
            </w:tcBorders>
            <w:vAlign w:val="center"/>
          </w:tcPr>
          <w:p w14:paraId="30CF9DEC">
            <w:pPr>
              <w:widowControl/>
              <w:jc w:val="center"/>
              <w:textAlignment w:val="center"/>
              <w:rPr>
                <w:color w:val="000000"/>
              </w:rPr>
            </w:pPr>
            <w:r>
              <w:rPr>
                <w:rFonts w:hint="eastAsia" w:cs="宋体"/>
                <w:color w:val="000000"/>
              </w:rPr>
              <w:t>最文化的</w:t>
            </w:r>
          </w:p>
          <w:p w14:paraId="3FE292F1">
            <w:pPr>
              <w:widowControl/>
              <w:jc w:val="center"/>
              <w:textAlignment w:val="center"/>
              <w:rPr>
                <w:color w:val="000000"/>
              </w:rPr>
            </w:pPr>
            <w:r>
              <w:rPr>
                <w:rFonts w:hint="eastAsia" w:cs="宋体"/>
                <w:color w:val="000000"/>
              </w:rPr>
              <w:t>美丽古都</w:t>
            </w:r>
          </w:p>
          <w:p w14:paraId="1D114DB0">
            <w:pPr>
              <w:widowControl/>
              <w:jc w:val="center"/>
              <w:textAlignment w:val="center"/>
              <w:rPr>
                <w:color w:val="000000"/>
              </w:rPr>
            </w:pPr>
            <w:r>
              <w:rPr>
                <w:rFonts w:hint="eastAsia" w:cs="宋体"/>
                <w:color w:val="000000"/>
              </w:rPr>
              <w:t>核心区</w:t>
            </w:r>
          </w:p>
        </w:tc>
        <w:tc>
          <w:tcPr>
            <w:tcW w:w="406" w:type="pct"/>
            <w:tcBorders>
              <w:top w:val="single" w:color="000000" w:sz="4" w:space="0"/>
              <w:left w:val="single" w:color="000000" w:sz="4" w:space="0"/>
              <w:bottom w:val="single" w:color="000000" w:sz="4" w:space="0"/>
              <w:right w:val="single" w:color="000000" w:sz="4" w:space="0"/>
            </w:tcBorders>
            <w:vAlign w:val="center"/>
          </w:tcPr>
          <w:p w14:paraId="43FF9C13">
            <w:pPr>
              <w:widowControl/>
              <w:jc w:val="center"/>
              <w:textAlignment w:val="center"/>
              <w:rPr>
                <w:color w:val="000000"/>
              </w:rPr>
            </w:pPr>
            <w:r>
              <w:rPr>
                <w:color w:val="000000"/>
              </w:rPr>
              <w:t>22</w:t>
            </w:r>
          </w:p>
        </w:tc>
        <w:tc>
          <w:tcPr>
            <w:tcW w:w="2309" w:type="pct"/>
            <w:tcBorders>
              <w:top w:val="single" w:color="000000" w:sz="4" w:space="0"/>
              <w:left w:val="single" w:color="000000" w:sz="4" w:space="0"/>
              <w:bottom w:val="single" w:color="000000" w:sz="4" w:space="0"/>
              <w:right w:val="single" w:color="000000" w:sz="4" w:space="0"/>
            </w:tcBorders>
            <w:vAlign w:val="center"/>
          </w:tcPr>
          <w:p w14:paraId="77C8980E">
            <w:pPr>
              <w:widowControl/>
              <w:jc w:val="center"/>
              <w:textAlignment w:val="center"/>
              <w:rPr>
                <w:color w:val="000000"/>
              </w:rPr>
            </w:pPr>
            <w:r>
              <w:rPr>
                <w:rFonts w:hint="eastAsia" w:cs="宋体"/>
                <w:color w:val="000000"/>
              </w:rPr>
              <w:t>美丽社区覆盖率</w:t>
            </w:r>
          </w:p>
        </w:tc>
        <w:tc>
          <w:tcPr>
            <w:tcW w:w="1010" w:type="pct"/>
            <w:tcBorders>
              <w:top w:val="single" w:color="000000" w:sz="4" w:space="0"/>
              <w:left w:val="single" w:color="000000" w:sz="4" w:space="0"/>
              <w:bottom w:val="single" w:color="000000" w:sz="4" w:space="0"/>
              <w:right w:val="single" w:color="000000" w:sz="4" w:space="0"/>
            </w:tcBorders>
            <w:vAlign w:val="center"/>
          </w:tcPr>
          <w:p w14:paraId="4C78718F">
            <w:pPr>
              <w:widowControl/>
              <w:jc w:val="center"/>
              <w:textAlignment w:val="center"/>
              <w:rPr>
                <w:color w:val="000000"/>
              </w:rPr>
            </w:pPr>
            <w:r>
              <w:rPr>
                <w:color w:val="000000"/>
              </w:rPr>
              <w:t>92%</w:t>
            </w:r>
          </w:p>
        </w:tc>
        <w:tc>
          <w:tcPr>
            <w:tcW w:w="549" w:type="pct"/>
            <w:tcBorders>
              <w:top w:val="single" w:color="000000" w:sz="4" w:space="0"/>
              <w:left w:val="single" w:color="000000" w:sz="4" w:space="0"/>
              <w:bottom w:val="single" w:color="000000" w:sz="4" w:space="0"/>
              <w:right w:val="single" w:color="000000" w:sz="4" w:space="0"/>
            </w:tcBorders>
            <w:vAlign w:val="center"/>
          </w:tcPr>
          <w:p w14:paraId="1A027F51">
            <w:pPr>
              <w:widowControl/>
              <w:jc w:val="center"/>
              <w:textAlignment w:val="center"/>
              <w:rPr>
                <w:color w:val="000000"/>
              </w:rPr>
            </w:pPr>
            <w:r>
              <w:rPr>
                <w:rFonts w:hint="eastAsia" w:cs="宋体"/>
                <w:color w:val="000000"/>
              </w:rPr>
              <w:t>预期性</w:t>
            </w:r>
          </w:p>
        </w:tc>
      </w:tr>
      <w:tr w14:paraId="140DE19C">
        <w:tblPrEx>
          <w:tblCellMar>
            <w:top w:w="0" w:type="dxa"/>
            <w:left w:w="108" w:type="dxa"/>
            <w:bottom w:w="0" w:type="dxa"/>
            <w:right w:w="108" w:type="dxa"/>
          </w:tblCellMar>
        </w:tblPrEx>
        <w:trPr>
          <w:trHeight w:val="270" w:hRule="atLeast"/>
        </w:trPr>
        <w:tc>
          <w:tcPr>
            <w:tcW w:w="726" w:type="pct"/>
            <w:vMerge w:val="continue"/>
            <w:tcBorders>
              <w:top w:val="single" w:color="000000" w:sz="4" w:space="0"/>
              <w:left w:val="single" w:color="000000" w:sz="4" w:space="0"/>
              <w:bottom w:val="single" w:color="000000" w:sz="4" w:space="0"/>
              <w:right w:val="single" w:color="000000" w:sz="4" w:space="0"/>
            </w:tcBorders>
            <w:vAlign w:val="center"/>
          </w:tcPr>
          <w:p w14:paraId="646FC053">
            <w:pPr>
              <w:widowControl/>
              <w:jc w:val="center"/>
              <w:textAlignment w:val="center"/>
              <w:rPr>
                <w:color w:val="000000"/>
              </w:rPr>
            </w:pPr>
          </w:p>
        </w:tc>
        <w:tc>
          <w:tcPr>
            <w:tcW w:w="406" w:type="pct"/>
            <w:tcBorders>
              <w:top w:val="single" w:color="000000" w:sz="4" w:space="0"/>
              <w:left w:val="single" w:color="000000" w:sz="4" w:space="0"/>
              <w:bottom w:val="single" w:color="000000" w:sz="4" w:space="0"/>
              <w:right w:val="single" w:color="000000" w:sz="4" w:space="0"/>
            </w:tcBorders>
            <w:vAlign w:val="center"/>
          </w:tcPr>
          <w:p w14:paraId="4F1B13C6">
            <w:pPr>
              <w:widowControl/>
              <w:jc w:val="center"/>
              <w:textAlignment w:val="center"/>
              <w:rPr>
                <w:color w:val="000000"/>
              </w:rPr>
            </w:pPr>
            <w:r>
              <w:rPr>
                <w:color w:val="000000"/>
              </w:rPr>
              <w:t>23</w:t>
            </w:r>
          </w:p>
        </w:tc>
        <w:tc>
          <w:tcPr>
            <w:tcW w:w="2309" w:type="pct"/>
            <w:tcBorders>
              <w:top w:val="single" w:color="000000" w:sz="4" w:space="0"/>
              <w:left w:val="single" w:color="000000" w:sz="4" w:space="0"/>
              <w:bottom w:val="single" w:color="000000" w:sz="4" w:space="0"/>
              <w:right w:val="single" w:color="000000" w:sz="4" w:space="0"/>
            </w:tcBorders>
            <w:vAlign w:val="center"/>
          </w:tcPr>
          <w:p w14:paraId="0C1C0392">
            <w:pPr>
              <w:widowControl/>
              <w:jc w:val="center"/>
              <w:textAlignment w:val="center"/>
              <w:rPr>
                <w:color w:val="000000"/>
              </w:rPr>
            </w:pPr>
            <w:r>
              <w:rPr>
                <w:color w:val="000000"/>
              </w:rPr>
              <w:t>PM2.5</w:t>
            </w:r>
            <w:r>
              <w:rPr>
                <w:rFonts w:hint="eastAsia" w:cs="宋体"/>
                <w:color w:val="000000"/>
              </w:rPr>
              <w:t>浓度年均值</w:t>
            </w:r>
          </w:p>
        </w:tc>
        <w:tc>
          <w:tcPr>
            <w:tcW w:w="1010" w:type="pct"/>
            <w:tcBorders>
              <w:top w:val="single" w:color="000000" w:sz="4" w:space="0"/>
              <w:left w:val="single" w:color="000000" w:sz="4" w:space="0"/>
              <w:bottom w:val="single" w:color="000000" w:sz="4" w:space="0"/>
              <w:right w:val="single" w:color="000000" w:sz="4" w:space="0"/>
            </w:tcBorders>
            <w:vAlign w:val="center"/>
          </w:tcPr>
          <w:p w14:paraId="20C722B8">
            <w:pPr>
              <w:widowControl/>
              <w:jc w:val="center"/>
              <w:textAlignment w:val="center"/>
              <w:rPr>
                <w:color w:val="000000"/>
              </w:rPr>
            </w:pPr>
            <w:r>
              <w:rPr>
                <w:rFonts w:hint="eastAsia" w:cs="宋体"/>
                <w:color w:val="000000"/>
              </w:rPr>
              <w:t>达市要求</w:t>
            </w:r>
          </w:p>
        </w:tc>
        <w:tc>
          <w:tcPr>
            <w:tcW w:w="549" w:type="pct"/>
            <w:tcBorders>
              <w:top w:val="single" w:color="000000" w:sz="4" w:space="0"/>
              <w:left w:val="single" w:color="000000" w:sz="4" w:space="0"/>
              <w:bottom w:val="single" w:color="000000" w:sz="4" w:space="0"/>
              <w:right w:val="single" w:color="000000" w:sz="4" w:space="0"/>
            </w:tcBorders>
            <w:vAlign w:val="center"/>
          </w:tcPr>
          <w:p w14:paraId="134CE79B">
            <w:pPr>
              <w:widowControl/>
              <w:jc w:val="center"/>
              <w:textAlignment w:val="center"/>
              <w:rPr>
                <w:color w:val="000000"/>
              </w:rPr>
            </w:pPr>
            <w:r>
              <w:rPr>
                <w:rFonts w:hint="eastAsia" w:cs="宋体"/>
                <w:color w:val="000000"/>
              </w:rPr>
              <w:t>约束性</w:t>
            </w:r>
          </w:p>
        </w:tc>
      </w:tr>
      <w:tr w14:paraId="1B2FC90B">
        <w:tblPrEx>
          <w:tblCellMar>
            <w:top w:w="0" w:type="dxa"/>
            <w:left w:w="108" w:type="dxa"/>
            <w:bottom w:w="0" w:type="dxa"/>
            <w:right w:w="108" w:type="dxa"/>
          </w:tblCellMar>
        </w:tblPrEx>
        <w:trPr>
          <w:trHeight w:val="320" w:hRule="atLeast"/>
        </w:trPr>
        <w:tc>
          <w:tcPr>
            <w:tcW w:w="726" w:type="pct"/>
            <w:vMerge w:val="continue"/>
            <w:tcBorders>
              <w:top w:val="single" w:color="000000" w:sz="4" w:space="0"/>
              <w:left w:val="single" w:color="000000" w:sz="4" w:space="0"/>
              <w:bottom w:val="single" w:color="000000" w:sz="4" w:space="0"/>
              <w:right w:val="single" w:color="000000" w:sz="4" w:space="0"/>
            </w:tcBorders>
            <w:vAlign w:val="center"/>
          </w:tcPr>
          <w:p w14:paraId="1E757E9A">
            <w:pPr>
              <w:jc w:val="center"/>
              <w:rPr>
                <w:color w:val="000000"/>
              </w:rPr>
            </w:pPr>
          </w:p>
        </w:tc>
        <w:tc>
          <w:tcPr>
            <w:tcW w:w="406" w:type="pct"/>
            <w:tcBorders>
              <w:top w:val="single" w:color="000000" w:sz="4" w:space="0"/>
              <w:left w:val="single" w:color="000000" w:sz="4" w:space="0"/>
              <w:bottom w:val="single" w:color="000000" w:sz="4" w:space="0"/>
              <w:right w:val="single" w:color="000000" w:sz="4" w:space="0"/>
            </w:tcBorders>
            <w:vAlign w:val="center"/>
          </w:tcPr>
          <w:p w14:paraId="38B7C2C9">
            <w:pPr>
              <w:widowControl/>
              <w:jc w:val="center"/>
              <w:textAlignment w:val="center"/>
              <w:rPr>
                <w:color w:val="000000"/>
              </w:rPr>
            </w:pPr>
            <w:r>
              <w:rPr>
                <w:color w:val="000000"/>
              </w:rPr>
              <w:t>24</w:t>
            </w:r>
          </w:p>
        </w:tc>
        <w:tc>
          <w:tcPr>
            <w:tcW w:w="2309" w:type="pct"/>
            <w:tcBorders>
              <w:top w:val="single" w:color="000000" w:sz="4" w:space="0"/>
              <w:left w:val="single" w:color="000000" w:sz="4" w:space="0"/>
              <w:bottom w:val="single" w:color="000000" w:sz="4" w:space="0"/>
              <w:right w:val="single" w:color="000000" w:sz="4" w:space="0"/>
            </w:tcBorders>
            <w:vAlign w:val="center"/>
          </w:tcPr>
          <w:p w14:paraId="2799FF03">
            <w:pPr>
              <w:widowControl/>
              <w:jc w:val="center"/>
              <w:textAlignment w:val="center"/>
              <w:rPr>
                <w:color w:val="000000"/>
              </w:rPr>
            </w:pPr>
            <w:r>
              <w:rPr>
                <w:rFonts w:hint="eastAsia" w:cs="宋体"/>
                <w:color w:val="000000"/>
              </w:rPr>
              <w:t>空气质量达到优良天数比例</w:t>
            </w:r>
          </w:p>
        </w:tc>
        <w:tc>
          <w:tcPr>
            <w:tcW w:w="1010" w:type="pct"/>
            <w:tcBorders>
              <w:top w:val="single" w:color="000000" w:sz="4" w:space="0"/>
              <w:left w:val="single" w:color="000000" w:sz="4" w:space="0"/>
              <w:bottom w:val="single" w:color="000000" w:sz="4" w:space="0"/>
              <w:right w:val="single" w:color="000000" w:sz="4" w:space="0"/>
            </w:tcBorders>
            <w:vAlign w:val="center"/>
          </w:tcPr>
          <w:p w14:paraId="70222276">
            <w:pPr>
              <w:widowControl/>
              <w:jc w:val="center"/>
              <w:textAlignment w:val="center"/>
              <w:rPr>
                <w:color w:val="000000"/>
              </w:rPr>
            </w:pPr>
            <w:r>
              <w:rPr>
                <w:color w:val="000000"/>
              </w:rPr>
              <w:t>80%</w:t>
            </w:r>
          </w:p>
        </w:tc>
        <w:tc>
          <w:tcPr>
            <w:tcW w:w="549" w:type="pct"/>
            <w:tcBorders>
              <w:top w:val="single" w:color="000000" w:sz="4" w:space="0"/>
              <w:left w:val="single" w:color="000000" w:sz="4" w:space="0"/>
              <w:bottom w:val="single" w:color="000000" w:sz="4" w:space="0"/>
              <w:right w:val="single" w:color="000000" w:sz="4" w:space="0"/>
            </w:tcBorders>
            <w:vAlign w:val="center"/>
          </w:tcPr>
          <w:p w14:paraId="5978FACA">
            <w:pPr>
              <w:widowControl/>
              <w:jc w:val="center"/>
              <w:textAlignment w:val="center"/>
              <w:rPr>
                <w:color w:val="000000"/>
              </w:rPr>
            </w:pPr>
            <w:r>
              <w:rPr>
                <w:rFonts w:hint="eastAsia" w:cs="宋体"/>
                <w:color w:val="000000"/>
              </w:rPr>
              <w:t>约束性</w:t>
            </w:r>
          </w:p>
        </w:tc>
      </w:tr>
      <w:tr w14:paraId="1800D774">
        <w:tblPrEx>
          <w:tblCellMar>
            <w:top w:w="0" w:type="dxa"/>
            <w:left w:w="108" w:type="dxa"/>
            <w:bottom w:w="0" w:type="dxa"/>
            <w:right w:w="108" w:type="dxa"/>
          </w:tblCellMar>
        </w:tblPrEx>
        <w:trPr>
          <w:trHeight w:val="270" w:hRule="atLeast"/>
        </w:trPr>
        <w:tc>
          <w:tcPr>
            <w:tcW w:w="726" w:type="pct"/>
            <w:vMerge w:val="continue"/>
            <w:tcBorders>
              <w:top w:val="single" w:color="000000" w:sz="4" w:space="0"/>
              <w:left w:val="single" w:color="000000" w:sz="4" w:space="0"/>
              <w:bottom w:val="single" w:color="000000" w:sz="4" w:space="0"/>
              <w:right w:val="single" w:color="000000" w:sz="4" w:space="0"/>
            </w:tcBorders>
            <w:vAlign w:val="center"/>
          </w:tcPr>
          <w:p w14:paraId="5CE6AEE9">
            <w:pPr>
              <w:jc w:val="center"/>
              <w:rPr>
                <w:color w:val="000000"/>
              </w:rPr>
            </w:pPr>
          </w:p>
        </w:tc>
        <w:tc>
          <w:tcPr>
            <w:tcW w:w="406" w:type="pct"/>
            <w:tcBorders>
              <w:top w:val="single" w:color="000000" w:sz="4" w:space="0"/>
              <w:left w:val="single" w:color="000000" w:sz="4" w:space="0"/>
              <w:bottom w:val="single" w:color="000000" w:sz="4" w:space="0"/>
              <w:right w:val="single" w:color="000000" w:sz="4" w:space="0"/>
            </w:tcBorders>
            <w:vAlign w:val="center"/>
          </w:tcPr>
          <w:p w14:paraId="3D820738">
            <w:pPr>
              <w:widowControl/>
              <w:jc w:val="center"/>
              <w:textAlignment w:val="center"/>
              <w:rPr>
                <w:color w:val="000000"/>
              </w:rPr>
            </w:pPr>
            <w:r>
              <w:rPr>
                <w:color w:val="000000"/>
              </w:rPr>
              <w:t>25</w:t>
            </w:r>
          </w:p>
        </w:tc>
        <w:tc>
          <w:tcPr>
            <w:tcW w:w="2309" w:type="pct"/>
            <w:tcBorders>
              <w:top w:val="single" w:color="000000" w:sz="4" w:space="0"/>
              <w:left w:val="single" w:color="000000" w:sz="4" w:space="0"/>
              <w:bottom w:val="single" w:color="000000" w:sz="4" w:space="0"/>
              <w:right w:val="single" w:color="000000" w:sz="4" w:space="0"/>
            </w:tcBorders>
            <w:vAlign w:val="center"/>
          </w:tcPr>
          <w:p w14:paraId="5E55114E">
            <w:pPr>
              <w:widowControl/>
              <w:jc w:val="center"/>
              <w:textAlignment w:val="center"/>
              <w:rPr>
                <w:color w:val="000000"/>
              </w:rPr>
            </w:pPr>
            <w:r>
              <w:rPr>
                <w:rFonts w:hint="eastAsia" w:cs="宋体"/>
                <w:color w:val="000000"/>
              </w:rPr>
              <w:t>地表水国省考断面水质达到或优于Ⅲ类水体比例</w:t>
            </w:r>
          </w:p>
        </w:tc>
        <w:tc>
          <w:tcPr>
            <w:tcW w:w="1010" w:type="pct"/>
            <w:tcBorders>
              <w:top w:val="single" w:color="000000" w:sz="4" w:space="0"/>
              <w:left w:val="single" w:color="000000" w:sz="4" w:space="0"/>
              <w:bottom w:val="single" w:color="000000" w:sz="4" w:space="0"/>
              <w:right w:val="single" w:color="000000" w:sz="4" w:space="0"/>
            </w:tcBorders>
            <w:vAlign w:val="center"/>
          </w:tcPr>
          <w:p w14:paraId="08FB183F">
            <w:pPr>
              <w:widowControl/>
              <w:jc w:val="center"/>
              <w:textAlignment w:val="center"/>
              <w:rPr>
                <w:color w:val="000000"/>
              </w:rPr>
            </w:pPr>
            <w:r>
              <w:rPr>
                <w:rFonts w:hint="eastAsia" w:cs="宋体"/>
                <w:color w:val="000000"/>
              </w:rPr>
              <w:t>达市要求</w:t>
            </w:r>
          </w:p>
        </w:tc>
        <w:tc>
          <w:tcPr>
            <w:tcW w:w="549" w:type="pct"/>
            <w:tcBorders>
              <w:top w:val="single" w:color="000000" w:sz="4" w:space="0"/>
              <w:left w:val="single" w:color="000000" w:sz="4" w:space="0"/>
              <w:bottom w:val="single" w:color="000000" w:sz="4" w:space="0"/>
              <w:right w:val="single" w:color="000000" w:sz="4" w:space="0"/>
            </w:tcBorders>
            <w:vAlign w:val="center"/>
          </w:tcPr>
          <w:p w14:paraId="52812BDA">
            <w:pPr>
              <w:widowControl/>
              <w:jc w:val="center"/>
              <w:textAlignment w:val="center"/>
              <w:rPr>
                <w:color w:val="000000"/>
              </w:rPr>
            </w:pPr>
            <w:r>
              <w:rPr>
                <w:rFonts w:hint="eastAsia" w:cs="宋体"/>
                <w:color w:val="000000"/>
              </w:rPr>
              <w:t>约束性</w:t>
            </w:r>
          </w:p>
        </w:tc>
      </w:tr>
      <w:tr w14:paraId="7D763B55">
        <w:tblPrEx>
          <w:tblCellMar>
            <w:top w:w="0" w:type="dxa"/>
            <w:left w:w="108" w:type="dxa"/>
            <w:bottom w:w="0" w:type="dxa"/>
            <w:right w:w="108" w:type="dxa"/>
          </w:tblCellMar>
        </w:tblPrEx>
        <w:trPr>
          <w:trHeight w:val="365" w:hRule="atLeast"/>
        </w:trPr>
        <w:tc>
          <w:tcPr>
            <w:tcW w:w="726" w:type="pct"/>
            <w:vMerge w:val="continue"/>
            <w:tcBorders>
              <w:top w:val="single" w:color="000000" w:sz="4" w:space="0"/>
              <w:left w:val="single" w:color="000000" w:sz="4" w:space="0"/>
              <w:bottom w:val="single" w:color="000000" w:sz="4" w:space="0"/>
              <w:right w:val="single" w:color="000000" w:sz="4" w:space="0"/>
            </w:tcBorders>
            <w:vAlign w:val="center"/>
          </w:tcPr>
          <w:p w14:paraId="19C5D8E3">
            <w:pPr>
              <w:jc w:val="center"/>
              <w:rPr>
                <w:color w:val="000000"/>
              </w:rPr>
            </w:pPr>
          </w:p>
        </w:tc>
        <w:tc>
          <w:tcPr>
            <w:tcW w:w="406" w:type="pct"/>
            <w:tcBorders>
              <w:top w:val="single" w:color="000000" w:sz="4" w:space="0"/>
              <w:left w:val="single" w:color="000000" w:sz="4" w:space="0"/>
              <w:bottom w:val="single" w:color="000000" w:sz="4" w:space="0"/>
              <w:right w:val="single" w:color="000000" w:sz="4" w:space="0"/>
            </w:tcBorders>
            <w:vAlign w:val="center"/>
          </w:tcPr>
          <w:p w14:paraId="5E788941">
            <w:pPr>
              <w:widowControl/>
              <w:jc w:val="center"/>
              <w:textAlignment w:val="center"/>
              <w:rPr>
                <w:color w:val="000000"/>
              </w:rPr>
            </w:pPr>
            <w:r>
              <w:rPr>
                <w:color w:val="000000"/>
              </w:rPr>
              <w:t>26</w:t>
            </w:r>
          </w:p>
        </w:tc>
        <w:tc>
          <w:tcPr>
            <w:tcW w:w="2309" w:type="pct"/>
            <w:tcBorders>
              <w:top w:val="single" w:color="000000" w:sz="4" w:space="0"/>
              <w:left w:val="single" w:color="000000" w:sz="4" w:space="0"/>
              <w:bottom w:val="single" w:color="000000" w:sz="4" w:space="0"/>
              <w:right w:val="single" w:color="000000" w:sz="4" w:space="0"/>
            </w:tcBorders>
            <w:vAlign w:val="center"/>
          </w:tcPr>
          <w:p w14:paraId="1413C0FF">
            <w:pPr>
              <w:widowControl/>
              <w:jc w:val="center"/>
              <w:textAlignment w:val="center"/>
              <w:rPr>
                <w:color w:val="000000"/>
              </w:rPr>
            </w:pPr>
            <w:r>
              <w:rPr>
                <w:rFonts w:hint="eastAsia" w:cs="宋体"/>
                <w:color w:val="000000"/>
              </w:rPr>
              <w:t>居民小区生活垃圾分类达标率</w:t>
            </w:r>
          </w:p>
        </w:tc>
        <w:tc>
          <w:tcPr>
            <w:tcW w:w="1010" w:type="pct"/>
            <w:tcBorders>
              <w:top w:val="single" w:color="000000" w:sz="4" w:space="0"/>
              <w:left w:val="single" w:color="000000" w:sz="4" w:space="0"/>
              <w:bottom w:val="single" w:color="000000" w:sz="4" w:space="0"/>
              <w:right w:val="single" w:color="000000" w:sz="4" w:space="0"/>
            </w:tcBorders>
            <w:vAlign w:val="center"/>
          </w:tcPr>
          <w:p w14:paraId="64FB75B6">
            <w:pPr>
              <w:widowControl/>
              <w:jc w:val="center"/>
              <w:textAlignment w:val="center"/>
              <w:rPr>
                <w:color w:val="000000"/>
              </w:rPr>
            </w:pPr>
            <w:r>
              <w:rPr>
                <w:color w:val="000000"/>
              </w:rPr>
              <w:t>100%</w:t>
            </w:r>
          </w:p>
        </w:tc>
        <w:tc>
          <w:tcPr>
            <w:tcW w:w="549" w:type="pct"/>
            <w:tcBorders>
              <w:top w:val="single" w:color="000000" w:sz="4" w:space="0"/>
              <w:left w:val="single" w:color="000000" w:sz="4" w:space="0"/>
              <w:bottom w:val="single" w:color="000000" w:sz="4" w:space="0"/>
              <w:right w:val="single" w:color="000000" w:sz="4" w:space="0"/>
            </w:tcBorders>
            <w:vAlign w:val="center"/>
          </w:tcPr>
          <w:p w14:paraId="03628367">
            <w:pPr>
              <w:widowControl/>
              <w:jc w:val="center"/>
              <w:textAlignment w:val="center"/>
              <w:rPr>
                <w:color w:val="000000"/>
              </w:rPr>
            </w:pPr>
            <w:r>
              <w:rPr>
                <w:rFonts w:hint="eastAsia" w:cs="宋体"/>
                <w:color w:val="000000"/>
              </w:rPr>
              <w:t>约束性</w:t>
            </w:r>
          </w:p>
        </w:tc>
      </w:tr>
      <w:tr w14:paraId="165EC0C2">
        <w:tblPrEx>
          <w:tblCellMar>
            <w:top w:w="0" w:type="dxa"/>
            <w:left w:w="108" w:type="dxa"/>
            <w:bottom w:w="0" w:type="dxa"/>
            <w:right w:w="108" w:type="dxa"/>
          </w:tblCellMar>
        </w:tblPrEx>
        <w:trPr>
          <w:trHeight w:val="340" w:hRule="atLeast"/>
        </w:trPr>
        <w:tc>
          <w:tcPr>
            <w:tcW w:w="726" w:type="pct"/>
            <w:vMerge w:val="restart"/>
            <w:tcBorders>
              <w:top w:val="single" w:color="000000" w:sz="4" w:space="0"/>
              <w:left w:val="single" w:color="000000" w:sz="4" w:space="0"/>
              <w:bottom w:val="single" w:color="000000" w:sz="4" w:space="0"/>
              <w:right w:val="single" w:color="000000" w:sz="4" w:space="0"/>
            </w:tcBorders>
            <w:vAlign w:val="center"/>
          </w:tcPr>
          <w:p w14:paraId="4B4F3D19">
            <w:pPr>
              <w:widowControl/>
              <w:jc w:val="center"/>
              <w:textAlignment w:val="center"/>
              <w:rPr>
                <w:color w:val="000000"/>
              </w:rPr>
            </w:pPr>
            <w:r>
              <w:rPr>
                <w:rFonts w:hint="eastAsia" w:cs="宋体"/>
                <w:color w:val="000000"/>
              </w:rPr>
              <w:t>最南京的</w:t>
            </w:r>
          </w:p>
          <w:p w14:paraId="6542765D">
            <w:pPr>
              <w:widowControl/>
              <w:jc w:val="center"/>
              <w:textAlignment w:val="center"/>
              <w:rPr>
                <w:color w:val="000000"/>
              </w:rPr>
            </w:pPr>
            <w:r>
              <w:rPr>
                <w:rFonts w:hint="eastAsia" w:cs="宋体"/>
                <w:color w:val="000000"/>
              </w:rPr>
              <w:t>综合消费</w:t>
            </w:r>
          </w:p>
          <w:p w14:paraId="6E975BB8">
            <w:pPr>
              <w:widowControl/>
              <w:jc w:val="center"/>
              <w:textAlignment w:val="center"/>
              <w:rPr>
                <w:color w:val="000000"/>
              </w:rPr>
            </w:pPr>
            <w:r>
              <w:rPr>
                <w:rFonts w:hint="eastAsia" w:cs="宋体"/>
                <w:color w:val="000000"/>
              </w:rPr>
              <w:t>集聚区</w:t>
            </w:r>
          </w:p>
        </w:tc>
        <w:tc>
          <w:tcPr>
            <w:tcW w:w="406" w:type="pct"/>
            <w:tcBorders>
              <w:top w:val="single" w:color="000000" w:sz="4" w:space="0"/>
              <w:left w:val="single" w:color="000000" w:sz="4" w:space="0"/>
              <w:bottom w:val="single" w:color="000000" w:sz="4" w:space="0"/>
              <w:right w:val="single" w:color="000000" w:sz="4" w:space="0"/>
            </w:tcBorders>
            <w:vAlign w:val="center"/>
          </w:tcPr>
          <w:p w14:paraId="2222C6D0">
            <w:pPr>
              <w:widowControl/>
              <w:jc w:val="center"/>
              <w:textAlignment w:val="center"/>
              <w:rPr>
                <w:color w:val="000000"/>
              </w:rPr>
            </w:pPr>
            <w:r>
              <w:rPr>
                <w:color w:val="000000"/>
              </w:rPr>
              <w:t>27</w:t>
            </w:r>
          </w:p>
        </w:tc>
        <w:tc>
          <w:tcPr>
            <w:tcW w:w="2309" w:type="pct"/>
            <w:tcBorders>
              <w:top w:val="single" w:color="000000" w:sz="4" w:space="0"/>
              <w:left w:val="single" w:color="000000" w:sz="4" w:space="0"/>
              <w:bottom w:val="single" w:color="000000" w:sz="4" w:space="0"/>
              <w:right w:val="single" w:color="000000" w:sz="4" w:space="0"/>
            </w:tcBorders>
            <w:vAlign w:val="center"/>
          </w:tcPr>
          <w:p w14:paraId="0CCDA684">
            <w:pPr>
              <w:widowControl/>
              <w:jc w:val="center"/>
              <w:textAlignment w:val="center"/>
              <w:rPr>
                <w:color w:val="000000"/>
              </w:rPr>
            </w:pPr>
            <w:r>
              <w:rPr>
                <w:rFonts w:hint="eastAsia" w:cs="宋体"/>
                <w:color w:val="000000"/>
              </w:rPr>
              <w:t>社会消费品零售总额</w:t>
            </w:r>
            <w:r>
              <w:rPr>
                <w:rStyle w:val="26"/>
                <w:rFonts w:hint="eastAsia" w:ascii="Times New Roman" w:hAnsi="Times New Roman"/>
              </w:rPr>
              <w:t>增速</w:t>
            </w:r>
          </w:p>
        </w:tc>
        <w:tc>
          <w:tcPr>
            <w:tcW w:w="1010" w:type="pct"/>
            <w:tcBorders>
              <w:top w:val="single" w:color="000000" w:sz="4" w:space="0"/>
              <w:left w:val="single" w:color="000000" w:sz="4" w:space="0"/>
              <w:bottom w:val="single" w:color="000000" w:sz="4" w:space="0"/>
              <w:right w:val="single" w:color="000000" w:sz="4" w:space="0"/>
            </w:tcBorders>
            <w:vAlign w:val="center"/>
          </w:tcPr>
          <w:p w14:paraId="1C053BD5">
            <w:pPr>
              <w:widowControl/>
              <w:jc w:val="center"/>
              <w:textAlignment w:val="center"/>
              <w:rPr>
                <w:color w:val="000000"/>
              </w:rPr>
            </w:pPr>
            <w:r>
              <w:rPr>
                <w:color w:val="000000"/>
              </w:rPr>
              <w:t>8%</w:t>
            </w:r>
          </w:p>
        </w:tc>
        <w:tc>
          <w:tcPr>
            <w:tcW w:w="549" w:type="pct"/>
            <w:tcBorders>
              <w:top w:val="single" w:color="000000" w:sz="4" w:space="0"/>
              <w:left w:val="single" w:color="000000" w:sz="4" w:space="0"/>
              <w:bottom w:val="single" w:color="000000" w:sz="4" w:space="0"/>
              <w:right w:val="single" w:color="000000" w:sz="4" w:space="0"/>
            </w:tcBorders>
            <w:vAlign w:val="center"/>
          </w:tcPr>
          <w:p w14:paraId="59F04AD6">
            <w:pPr>
              <w:widowControl/>
              <w:jc w:val="center"/>
              <w:textAlignment w:val="center"/>
              <w:rPr>
                <w:color w:val="000000"/>
              </w:rPr>
            </w:pPr>
            <w:r>
              <w:rPr>
                <w:rFonts w:hint="eastAsia" w:cs="宋体"/>
                <w:color w:val="000000"/>
              </w:rPr>
              <w:t>预期性</w:t>
            </w:r>
          </w:p>
        </w:tc>
      </w:tr>
      <w:tr w14:paraId="08B77B66">
        <w:tblPrEx>
          <w:tblCellMar>
            <w:top w:w="0" w:type="dxa"/>
            <w:left w:w="108" w:type="dxa"/>
            <w:bottom w:w="0" w:type="dxa"/>
            <w:right w:w="108" w:type="dxa"/>
          </w:tblCellMar>
        </w:tblPrEx>
        <w:trPr>
          <w:trHeight w:val="340" w:hRule="atLeast"/>
        </w:trPr>
        <w:tc>
          <w:tcPr>
            <w:tcW w:w="726" w:type="pct"/>
            <w:vMerge w:val="continue"/>
            <w:tcBorders>
              <w:top w:val="single" w:color="000000" w:sz="4" w:space="0"/>
              <w:left w:val="single" w:color="000000" w:sz="4" w:space="0"/>
              <w:bottom w:val="single" w:color="000000" w:sz="4" w:space="0"/>
              <w:right w:val="single" w:color="000000" w:sz="4" w:space="0"/>
            </w:tcBorders>
            <w:vAlign w:val="center"/>
          </w:tcPr>
          <w:p w14:paraId="173AABF2">
            <w:pPr>
              <w:widowControl/>
              <w:jc w:val="center"/>
              <w:textAlignment w:val="center"/>
              <w:rPr>
                <w:color w:val="000000"/>
              </w:rPr>
            </w:pPr>
          </w:p>
        </w:tc>
        <w:tc>
          <w:tcPr>
            <w:tcW w:w="406" w:type="pct"/>
            <w:tcBorders>
              <w:top w:val="single" w:color="000000" w:sz="4" w:space="0"/>
              <w:left w:val="single" w:color="000000" w:sz="4" w:space="0"/>
              <w:bottom w:val="single" w:color="000000" w:sz="4" w:space="0"/>
              <w:right w:val="single" w:color="000000" w:sz="4" w:space="0"/>
            </w:tcBorders>
            <w:vAlign w:val="center"/>
          </w:tcPr>
          <w:p w14:paraId="4DB78A0A">
            <w:pPr>
              <w:widowControl/>
              <w:jc w:val="center"/>
              <w:textAlignment w:val="center"/>
              <w:rPr>
                <w:color w:val="000000"/>
              </w:rPr>
            </w:pPr>
            <w:r>
              <w:rPr>
                <w:color w:val="000000"/>
              </w:rPr>
              <w:t>28</w:t>
            </w:r>
          </w:p>
        </w:tc>
        <w:tc>
          <w:tcPr>
            <w:tcW w:w="2309" w:type="pct"/>
            <w:tcBorders>
              <w:top w:val="single" w:color="000000" w:sz="4" w:space="0"/>
              <w:left w:val="single" w:color="000000" w:sz="4" w:space="0"/>
              <w:bottom w:val="single" w:color="000000" w:sz="4" w:space="0"/>
              <w:right w:val="single" w:color="000000" w:sz="4" w:space="0"/>
            </w:tcBorders>
            <w:vAlign w:val="center"/>
          </w:tcPr>
          <w:p w14:paraId="6DA79272">
            <w:pPr>
              <w:widowControl/>
              <w:jc w:val="center"/>
              <w:textAlignment w:val="center"/>
              <w:rPr>
                <w:color w:val="000000"/>
              </w:rPr>
            </w:pPr>
            <w:r>
              <w:rPr>
                <w:rFonts w:hint="eastAsia" w:cs="宋体"/>
                <w:color w:val="000000"/>
              </w:rPr>
              <w:t>外贸进出口总额增速</w:t>
            </w:r>
          </w:p>
        </w:tc>
        <w:tc>
          <w:tcPr>
            <w:tcW w:w="1010" w:type="pct"/>
            <w:tcBorders>
              <w:top w:val="single" w:color="000000" w:sz="4" w:space="0"/>
              <w:left w:val="single" w:color="000000" w:sz="4" w:space="0"/>
              <w:bottom w:val="single" w:color="000000" w:sz="4" w:space="0"/>
              <w:right w:val="single" w:color="000000" w:sz="4" w:space="0"/>
            </w:tcBorders>
            <w:vAlign w:val="center"/>
          </w:tcPr>
          <w:p w14:paraId="32B14B07">
            <w:pPr>
              <w:widowControl/>
              <w:jc w:val="center"/>
              <w:textAlignment w:val="center"/>
              <w:rPr>
                <w:color w:val="000000"/>
              </w:rPr>
            </w:pPr>
            <w:r>
              <w:rPr>
                <w:color w:val="000000"/>
              </w:rPr>
              <w:t>8%</w:t>
            </w:r>
          </w:p>
        </w:tc>
        <w:tc>
          <w:tcPr>
            <w:tcW w:w="549" w:type="pct"/>
            <w:tcBorders>
              <w:top w:val="single" w:color="000000" w:sz="4" w:space="0"/>
              <w:left w:val="single" w:color="000000" w:sz="4" w:space="0"/>
              <w:bottom w:val="single" w:color="000000" w:sz="4" w:space="0"/>
              <w:right w:val="single" w:color="000000" w:sz="4" w:space="0"/>
            </w:tcBorders>
            <w:vAlign w:val="center"/>
          </w:tcPr>
          <w:p w14:paraId="6904E286">
            <w:pPr>
              <w:widowControl/>
              <w:jc w:val="center"/>
              <w:textAlignment w:val="center"/>
              <w:rPr>
                <w:color w:val="000000"/>
              </w:rPr>
            </w:pPr>
            <w:r>
              <w:rPr>
                <w:rFonts w:hint="eastAsia" w:cs="宋体"/>
                <w:color w:val="000000"/>
              </w:rPr>
              <w:t>预期性</w:t>
            </w:r>
          </w:p>
        </w:tc>
      </w:tr>
      <w:tr w14:paraId="7E3400B5">
        <w:tblPrEx>
          <w:tblCellMar>
            <w:top w:w="0" w:type="dxa"/>
            <w:left w:w="108" w:type="dxa"/>
            <w:bottom w:w="0" w:type="dxa"/>
            <w:right w:w="108" w:type="dxa"/>
          </w:tblCellMar>
        </w:tblPrEx>
        <w:trPr>
          <w:trHeight w:val="270" w:hRule="atLeast"/>
        </w:trPr>
        <w:tc>
          <w:tcPr>
            <w:tcW w:w="726" w:type="pct"/>
            <w:vMerge w:val="continue"/>
            <w:tcBorders>
              <w:top w:val="single" w:color="000000" w:sz="4" w:space="0"/>
              <w:left w:val="single" w:color="000000" w:sz="4" w:space="0"/>
              <w:bottom w:val="single" w:color="000000" w:sz="4" w:space="0"/>
              <w:right w:val="single" w:color="000000" w:sz="4" w:space="0"/>
            </w:tcBorders>
            <w:vAlign w:val="center"/>
          </w:tcPr>
          <w:p w14:paraId="77C74DDF">
            <w:pPr>
              <w:jc w:val="center"/>
              <w:rPr>
                <w:color w:val="000000"/>
              </w:rPr>
            </w:pPr>
          </w:p>
        </w:tc>
        <w:tc>
          <w:tcPr>
            <w:tcW w:w="406" w:type="pct"/>
            <w:tcBorders>
              <w:top w:val="single" w:color="000000" w:sz="4" w:space="0"/>
              <w:left w:val="single" w:color="000000" w:sz="4" w:space="0"/>
              <w:bottom w:val="single" w:color="000000" w:sz="4" w:space="0"/>
              <w:right w:val="single" w:color="000000" w:sz="4" w:space="0"/>
            </w:tcBorders>
            <w:vAlign w:val="center"/>
          </w:tcPr>
          <w:p w14:paraId="706D6AF0">
            <w:pPr>
              <w:widowControl/>
              <w:jc w:val="center"/>
              <w:textAlignment w:val="center"/>
              <w:rPr>
                <w:color w:val="000000"/>
              </w:rPr>
            </w:pPr>
            <w:r>
              <w:rPr>
                <w:color w:val="000000"/>
              </w:rPr>
              <w:t>29</w:t>
            </w:r>
          </w:p>
        </w:tc>
        <w:tc>
          <w:tcPr>
            <w:tcW w:w="2309" w:type="pct"/>
            <w:tcBorders>
              <w:top w:val="single" w:color="000000" w:sz="4" w:space="0"/>
              <w:left w:val="single" w:color="000000" w:sz="4" w:space="0"/>
              <w:bottom w:val="single" w:color="000000" w:sz="4" w:space="0"/>
              <w:right w:val="single" w:color="000000" w:sz="4" w:space="0"/>
            </w:tcBorders>
            <w:vAlign w:val="center"/>
          </w:tcPr>
          <w:p w14:paraId="360C777E">
            <w:pPr>
              <w:widowControl/>
              <w:jc w:val="center"/>
              <w:textAlignment w:val="center"/>
              <w:rPr>
                <w:color w:val="000000"/>
              </w:rPr>
            </w:pPr>
            <w:r>
              <w:rPr>
                <w:rFonts w:hint="eastAsia" w:cs="宋体"/>
                <w:color w:val="000000"/>
              </w:rPr>
              <w:t>实际利用外资增速</w:t>
            </w:r>
          </w:p>
        </w:tc>
        <w:tc>
          <w:tcPr>
            <w:tcW w:w="1010" w:type="pct"/>
            <w:tcBorders>
              <w:top w:val="single" w:color="000000" w:sz="4" w:space="0"/>
              <w:left w:val="single" w:color="000000" w:sz="4" w:space="0"/>
              <w:bottom w:val="single" w:color="000000" w:sz="4" w:space="0"/>
              <w:right w:val="single" w:color="000000" w:sz="4" w:space="0"/>
            </w:tcBorders>
            <w:vAlign w:val="center"/>
          </w:tcPr>
          <w:p w14:paraId="2FB535F7">
            <w:pPr>
              <w:widowControl/>
              <w:jc w:val="center"/>
              <w:textAlignment w:val="center"/>
              <w:rPr>
                <w:color w:val="000000"/>
              </w:rPr>
            </w:pPr>
            <w:r>
              <w:rPr>
                <w:color w:val="000000"/>
              </w:rPr>
              <w:t>11%</w:t>
            </w:r>
          </w:p>
        </w:tc>
        <w:tc>
          <w:tcPr>
            <w:tcW w:w="549" w:type="pct"/>
            <w:tcBorders>
              <w:top w:val="single" w:color="000000" w:sz="4" w:space="0"/>
              <w:left w:val="single" w:color="000000" w:sz="4" w:space="0"/>
              <w:bottom w:val="single" w:color="000000" w:sz="4" w:space="0"/>
              <w:right w:val="single" w:color="000000" w:sz="4" w:space="0"/>
            </w:tcBorders>
            <w:vAlign w:val="center"/>
          </w:tcPr>
          <w:p w14:paraId="5B19F56C">
            <w:pPr>
              <w:widowControl/>
              <w:jc w:val="center"/>
              <w:textAlignment w:val="center"/>
              <w:rPr>
                <w:color w:val="000000"/>
              </w:rPr>
            </w:pPr>
            <w:r>
              <w:rPr>
                <w:rFonts w:hint="eastAsia" w:cs="宋体"/>
                <w:color w:val="000000"/>
              </w:rPr>
              <w:t>预期性</w:t>
            </w:r>
          </w:p>
        </w:tc>
      </w:tr>
      <w:tr w14:paraId="38E102AE">
        <w:tblPrEx>
          <w:tblCellMar>
            <w:top w:w="0" w:type="dxa"/>
            <w:left w:w="108" w:type="dxa"/>
            <w:bottom w:w="0" w:type="dxa"/>
            <w:right w:w="108" w:type="dxa"/>
          </w:tblCellMar>
        </w:tblPrEx>
        <w:trPr>
          <w:trHeight w:val="340" w:hRule="atLeast"/>
        </w:trPr>
        <w:tc>
          <w:tcPr>
            <w:tcW w:w="726" w:type="pct"/>
            <w:vMerge w:val="continue"/>
            <w:tcBorders>
              <w:top w:val="single" w:color="000000" w:sz="4" w:space="0"/>
              <w:left w:val="single" w:color="000000" w:sz="4" w:space="0"/>
              <w:bottom w:val="single" w:color="000000" w:sz="4" w:space="0"/>
              <w:right w:val="single" w:color="000000" w:sz="4" w:space="0"/>
            </w:tcBorders>
            <w:vAlign w:val="center"/>
          </w:tcPr>
          <w:p w14:paraId="46C9F0A5">
            <w:pPr>
              <w:jc w:val="center"/>
              <w:rPr>
                <w:color w:val="000000"/>
              </w:rPr>
            </w:pPr>
          </w:p>
        </w:tc>
        <w:tc>
          <w:tcPr>
            <w:tcW w:w="406" w:type="pct"/>
            <w:tcBorders>
              <w:top w:val="single" w:color="000000" w:sz="4" w:space="0"/>
              <w:left w:val="single" w:color="000000" w:sz="4" w:space="0"/>
              <w:bottom w:val="single" w:color="000000" w:sz="4" w:space="0"/>
              <w:right w:val="single" w:color="000000" w:sz="4" w:space="0"/>
            </w:tcBorders>
            <w:vAlign w:val="center"/>
          </w:tcPr>
          <w:p w14:paraId="6330DB5B">
            <w:pPr>
              <w:widowControl/>
              <w:jc w:val="center"/>
              <w:textAlignment w:val="center"/>
              <w:rPr>
                <w:color w:val="000000"/>
              </w:rPr>
            </w:pPr>
            <w:r>
              <w:rPr>
                <w:color w:val="000000"/>
              </w:rPr>
              <w:t>30</w:t>
            </w:r>
          </w:p>
        </w:tc>
        <w:tc>
          <w:tcPr>
            <w:tcW w:w="2309" w:type="pct"/>
            <w:tcBorders>
              <w:top w:val="single" w:color="000000" w:sz="4" w:space="0"/>
              <w:left w:val="single" w:color="000000" w:sz="4" w:space="0"/>
              <w:bottom w:val="single" w:color="000000" w:sz="4" w:space="0"/>
              <w:right w:val="single" w:color="000000" w:sz="4" w:space="0"/>
            </w:tcBorders>
            <w:vAlign w:val="center"/>
          </w:tcPr>
          <w:p w14:paraId="49F77BC5">
            <w:pPr>
              <w:widowControl/>
              <w:jc w:val="center"/>
              <w:textAlignment w:val="center"/>
              <w:rPr>
                <w:color w:val="000000"/>
              </w:rPr>
            </w:pPr>
            <w:r>
              <w:rPr>
                <w:rFonts w:hint="eastAsia" w:cs="宋体"/>
                <w:color w:val="000000"/>
              </w:rPr>
              <w:t>旅游总收入</w:t>
            </w:r>
          </w:p>
        </w:tc>
        <w:tc>
          <w:tcPr>
            <w:tcW w:w="1010" w:type="pct"/>
            <w:tcBorders>
              <w:top w:val="single" w:color="000000" w:sz="4" w:space="0"/>
              <w:left w:val="single" w:color="000000" w:sz="4" w:space="0"/>
              <w:bottom w:val="single" w:color="000000" w:sz="4" w:space="0"/>
              <w:right w:val="single" w:color="000000" w:sz="4" w:space="0"/>
            </w:tcBorders>
            <w:vAlign w:val="center"/>
          </w:tcPr>
          <w:p w14:paraId="636F3F20">
            <w:pPr>
              <w:widowControl/>
              <w:jc w:val="center"/>
              <w:textAlignment w:val="center"/>
              <w:rPr>
                <w:color w:val="000000"/>
              </w:rPr>
            </w:pPr>
            <w:r>
              <w:rPr>
                <w:color w:val="000000"/>
              </w:rPr>
              <w:t>1500</w:t>
            </w:r>
            <w:r>
              <w:rPr>
                <w:rFonts w:hint="eastAsia" w:cs="宋体"/>
                <w:color w:val="000000"/>
              </w:rPr>
              <w:t>亿元</w:t>
            </w:r>
          </w:p>
        </w:tc>
        <w:tc>
          <w:tcPr>
            <w:tcW w:w="549" w:type="pct"/>
            <w:tcBorders>
              <w:top w:val="single" w:color="000000" w:sz="4" w:space="0"/>
              <w:left w:val="single" w:color="000000" w:sz="4" w:space="0"/>
              <w:bottom w:val="single" w:color="000000" w:sz="4" w:space="0"/>
              <w:right w:val="single" w:color="000000" w:sz="4" w:space="0"/>
            </w:tcBorders>
            <w:vAlign w:val="center"/>
          </w:tcPr>
          <w:p w14:paraId="2DA4F7D1">
            <w:pPr>
              <w:widowControl/>
              <w:jc w:val="center"/>
              <w:textAlignment w:val="center"/>
              <w:rPr>
                <w:color w:val="000000"/>
              </w:rPr>
            </w:pPr>
            <w:r>
              <w:rPr>
                <w:rFonts w:hint="eastAsia" w:cs="宋体"/>
                <w:color w:val="000000"/>
              </w:rPr>
              <w:t>预期性</w:t>
            </w:r>
          </w:p>
        </w:tc>
      </w:tr>
      <w:tr w14:paraId="15B44DB2">
        <w:tblPrEx>
          <w:tblCellMar>
            <w:top w:w="0" w:type="dxa"/>
            <w:left w:w="108" w:type="dxa"/>
            <w:bottom w:w="0" w:type="dxa"/>
            <w:right w:w="108" w:type="dxa"/>
          </w:tblCellMar>
        </w:tblPrEx>
        <w:trPr>
          <w:trHeight w:val="350" w:hRule="atLeast"/>
        </w:trPr>
        <w:tc>
          <w:tcPr>
            <w:tcW w:w="726" w:type="pct"/>
            <w:vMerge w:val="continue"/>
            <w:tcBorders>
              <w:top w:val="single" w:color="000000" w:sz="4" w:space="0"/>
              <w:left w:val="single" w:color="000000" w:sz="4" w:space="0"/>
              <w:bottom w:val="single" w:color="000000" w:sz="4" w:space="0"/>
              <w:right w:val="single" w:color="000000" w:sz="4" w:space="0"/>
            </w:tcBorders>
            <w:vAlign w:val="center"/>
          </w:tcPr>
          <w:p w14:paraId="331540B9">
            <w:pPr>
              <w:jc w:val="center"/>
              <w:rPr>
                <w:color w:val="000000"/>
              </w:rPr>
            </w:pPr>
          </w:p>
        </w:tc>
        <w:tc>
          <w:tcPr>
            <w:tcW w:w="406" w:type="pct"/>
            <w:tcBorders>
              <w:top w:val="single" w:color="000000" w:sz="4" w:space="0"/>
              <w:left w:val="single" w:color="000000" w:sz="4" w:space="0"/>
              <w:bottom w:val="single" w:color="000000" w:sz="4" w:space="0"/>
              <w:right w:val="single" w:color="000000" w:sz="4" w:space="0"/>
            </w:tcBorders>
            <w:vAlign w:val="center"/>
          </w:tcPr>
          <w:p w14:paraId="27A459BB">
            <w:pPr>
              <w:widowControl/>
              <w:jc w:val="center"/>
              <w:textAlignment w:val="center"/>
              <w:rPr>
                <w:color w:val="000000"/>
              </w:rPr>
            </w:pPr>
            <w:r>
              <w:rPr>
                <w:color w:val="000000"/>
              </w:rPr>
              <w:t>31</w:t>
            </w:r>
          </w:p>
        </w:tc>
        <w:tc>
          <w:tcPr>
            <w:tcW w:w="2309" w:type="pct"/>
            <w:tcBorders>
              <w:top w:val="single" w:color="000000" w:sz="4" w:space="0"/>
              <w:left w:val="single" w:color="000000" w:sz="4" w:space="0"/>
              <w:bottom w:val="single" w:color="000000" w:sz="4" w:space="0"/>
              <w:right w:val="single" w:color="000000" w:sz="4" w:space="0"/>
            </w:tcBorders>
            <w:vAlign w:val="center"/>
          </w:tcPr>
          <w:p w14:paraId="37BDF98B">
            <w:pPr>
              <w:widowControl/>
              <w:jc w:val="center"/>
              <w:textAlignment w:val="center"/>
              <w:rPr>
                <w:color w:val="000000"/>
              </w:rPr>
            </w:pPr>
            <w:r>
              <w:rPr>
                <w:rFonts w:hint="eastAsia" w:cs="宋体"/>
                <w:color w:val="000000"/>
              </w:rPr>
              <w:t>文化产业增加值占比</w:t>
            </w:r>
          </w:p>
        </w:tc>
        <w:tc>
          <w:tcPr>
            <w:tcW w:w="1010" w:type="pct"/>
            <w:tcBorders>
              <w:top w:val="single" w:color="000000" w:sz="4" w:space="0"/>
              <w:left w:val="single" w:color="000000" w:sz="4" w:space="0"/>
              <w:bottom w:val="single" w:color="000000" w:sz="4" w:space="0"/>
              <w:right w:val="single" w:color="000000" w:sz="4" w:space="0"/>
            </w:tcBorders>
            <w:vAlign w:val="center"/>
          </w:tcPr>
          <w:p w14:paraId="7FFC4EFF">
            <w:pPr>
              <w:widowControl/>
              <w:jc w:val="center"/>
              <w:textAlignment w:val="center"/>
              <w:rPr>
                <w:color w:val="000000"/>
              </w:rPr>
            </w:pPr>
            <w:r>
              <w:rPr>
                <w:color w:val="000000"/>
              </w:rPr>
              <w:t>9%</w:t>
            </w:r>
          </w:p>
        </w:tc>
        <w:tc>
          <w:tcPr>
            <w:tcW w:w="549" w:type="pct"/>
            <w:tcBorders>
              <w:top w:val="single" w:color="000000" w:sz="4" w:space="0"/>
              <w:left w:val="single" w:color="000000" w:sz="4" w:space="0"/>
              <w:bottom w:val="single" w:color="000000" w:sz="4" w:space="0"/>
              <w:right w:val="single" w:color="000000" w:sz="4" w:space="0"/>
            </w:tcBorders>
            <w:vAlign w:val="center"/>
          </w:tcPr>
          <w:p w14:paraId="1060E647">
            <w:pPr>
              <w:widowControl/>
              <w:jc w:val="center"/>
              <w:textAlignment w:val="center"/>
              <w:rPr>
                <w:color w:val="000000"/>
              </w:rPr>
            </w:pPr>
            <w:r>
              <w:rPr>
                <w:rFonts w:hint="eastAsia" w:cs="宋体"/>
                <w:color w:val="000000"/>
              </w:rPr>
              <w:t>预期性</w:t>
            </w:r>
          </w:p>
        </w:tc>
      </w:tr>
    </w:tbl>
    <w:p w14:paraId="353DD604">
      <w:pPr>
        <w:pStyle w:val="3"/>
        <w:keepNext w:val="0"/>
        <w:keepLines w:val="0"/>
        <w:spacing w:before="0" w:after="0" w:line="700" w:lineRule="exact"/>
        <w:jc w:val="center"/>
        <w:rPr>
          <w:rFonts w:ascii="方正小标宋_GBK" w:eastAsia="方正小标宋_GBK"/>
          <w:b w:val="0"/>
          <w:bCs w:val="0"/>
        </w:rPr>
      </w:pPr>
      <w:bookmarkStart w:id="57" w:name="_Toc60466212"/>
    </w:p>
    <w:p w14:paraId="17A76D9A">
      <w:pPr>
        <w:pStyle w:val="3"/>
        <w:keepNext w:val="0"/>
        <w:keepLines w:val="0"/>
        <w:spacing w:before="0" w:after="0" w:line="700" w:lineRule="exact"/>
        <w:jc w:val="center"/>
        <w:rPr>
          <w:rFonts w:ascii="方正小标宋_GBK" w:eastAsia="方正小标宋_GBK"/>
          <w:b w:val="0"/>
          <w:bCs w:val="0"/>
        </w:rPr>
      </w:pPr>
      <w:r>
        <w:rPr>
          <w:rFonts w:hint="eastAsia" w:ascii="方正小标宋_GBK" w:eastAsia="方正小标宋_GBK" w:cs="方正小标宋_GBK"/>
          <w:b w:val="0"/>
          <w:bCs w:val="0"/>
        </w:rPr>
        <w:t>第二篇</w:t>
      </w:r>
      <w:r>
        <w:rPr>
          <w:rFonts w:ascii="方正小标宋_GBK" w:eastAsia="方正小标宋_GBK" w:cs="方正小标宋_GBK"/>
          <w:b w:val="0"/>
          <w:bCs w:val="0"/>
        </w:rPr>
        <w:t xml:space="preserve"> </w:t>
      </w:r>
      <w:r>
        <w:rPr>
          <w:rFonts w:hint="eastAsia" w:ascii="方正小标宋_GBK" w:eastAsia="方正小标宋_GBK" w:cs="方正小标宋_GBK"/>
          <w:b w:val="0"/>
          <w:bCs w:val="0"/>
        </w:rPr>
        <w:t>硅巷高新双轮驱动，率先突破全域创新，激发秦淮科创活力新能量</w:t>
      </w:r>
      <w:bookmarkEnd w:id="57"/>
    </w:p>
    <w:p w14:paraId="376FFC07">
      <w:pPr>
        <w:spacing w:line="520" w:lineRule="exact"/>
        <w:ind w:firstLine="601"/>
        <w:rPr>
          <w:rFonts w:eastAsia="华文仿宋"/>
          <w:sz w:val="32"/>
          <w:szCs w:val="32"/>
        </w:rPr>
      </w:pPr>
    </w:p>
    <w:p w14:paraId="59C5CEFB">
      <w:pPr>
        <w:spacing w:line="590" w:lineRule="exact"/>
        <w:ind w:firstLine="629"/>
        <w:rPr>
          <w:rFonts w:eastAsia="方正仿宋_GBK"/>
          <w:sz w:val="32"/>
          <w:szCs w:val="32"/>
        </w:rPr>
      </w:pPr>
      <w:r>
        <w:rPr>
          <w:rFonts w:hint="eastAsia" w:eastAsia="方正仿宋_GBK" w:cs="方正仿宋_GBK"/>
          <w:sz w:val="32"/>
          <w:szCs w:val="32"/>
        </w:rPr>
        <w:t>以秦淮硅巷、白下高新为创新驱动主战场、主阵地，依托秦淮大院、大所、名校、名企集聚特点，放大产品研发、模式探索、场景应用等方面的潜在优势，通过推动创新主体跨域协同、创新资源高效集聚、创新要素集约配置、创新人才加速汇聚、创新生态全域营造以及创新服务全链条保障，凸显示范带动作用，打造南京市全域创新生态样板和国际化创新名城示范区。</w:t>
      </w:r>
    </w:p>
    <w:p w14:paraId="17C1D757">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58" w:name="_Toc60466213"/>
      <w:r>
        <w:rPr>
          <w:rFonts w:hint="eastAsia" w:ascii="方正黑体_GBK" w:hAnsi="方正黑体_GBK" w:eastAsia="方正黑体_GBK" w:cs="方正黑体_GBK"/>
          <w:b w:val="0"/>
          <w:bCs w:val="0"/>
        </w:rPr>
        <w:t>第四章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率先实现创新驱动发展</w:t>
      </w:r>
      <w:bookmarkEnd w:id="58"/>
    </w:p>
    <w:p w14:paraId="7CA10CF1">
      <w:pPr>
        <w:pStyle w:val="5"/>
        <w:spacing w:after="200"/>
        <w:jc w:val="center"/>
        <w:rPr>
          <w:rFonts w:ascii="方正楷体_GBK" w:hAnsi="方正楷体_GBK" w:eastAsia="方正楷体_GBK"/>
          <w:b w:val="0"/>
          <w:bCs w:val="0"/>
        </w:rPr>
      </w:pPr>
      <w:bookmarkStart w:id="59" w:name="_Toc60466214"/>
      <w:r>
        <w:rPr>
          <w:rFonts w:hint="eastAsia" w:ascii="方正楷体_GBK" w:hAnsi="方正楷体_GBK" w:eastAsia="方正楷体_GBK" w:cs="方正楷体_GBK"/>
          <w:b w:val="0"/>
          <w:bCs w:val="0"/>
        </w:rPr>
        <w:t>第一节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提升秦淮硅巷质效</w:t>
      </w:r>
      <w:bookmarkEnd w:id="59"/>
    </w:p>
    <w:p w14:paraId="75855E6A">
      <w:pPr>
        <w:spacing w:line="590" w:lineRule="exact"/>
        <w:ind w:firstLine="629"/>
        <w:rPr>
          <w:rFonts w:eastAsia="方正仿宋_GBK"/>
          <w:sz w:val="32"/>
          <w:szCs w:val="32"/>
        </w:rPr>
      </w:pPr>
      <w:r>
        <w:rPr>
          <w:rFonts w:hint="eastAsia" w:eastAsia="方正仿宋_GBK" w:cs="方正仿宋_GBK"/>
          <w:sz w:val="32"/>
          <w:szCs w:val="32"/>
        </w:rPr>
        <w:t>实施秦淮硅巷质效提升行动，高标准建设南航秦淮创新湾区、南航秦淮硅巷大学科技园，提档升级创意东八区等一批低效园区。发布秦淮硅巷活力指数，与南航、</w:t>
      </w:r>
      <w:r>
        <w:rPr>
          <w:rFonts w:eastAsia="方正仿宋_GBK"/>
          <w:sz w:val="32"/>
          <w:szCs w:val="32"/>
        </w:rPr>
        <w:t xml:space="preserve">55 </w:t>
      </w:r>
      <w:r>
        <w:rPr>
          <w:rFonts w:hint="eastAsia" w:eastAsia="方正仿宋_GBK" w:cs="方正仿宋_GBK"/>
          <w:sz w:val="32"/>
          <w:szCs w:val="32"/>
        </w:rPr>
        <w:t>所、金城集团等大院大所大企深度合作，推动干部双向交流，全力服务院士、大师领衔的专家团队落地生根、成长壮大。在科技成果确权等机制改革上积极先行先试，加快设立“硅巷人才卡”，为企业、人才提供更加高效优质的定制化服务。积极融入长三角区域创新共同体，争取更多国际高端论坛、科创顶尖赛事在硅巷举办，打响秦淮硅巷品牌。推进科技园区、大学校区、城市街区、公共社区“四区融合、联动发展”，将秦淮硅巷打造成为南航大和高新区加大研发投入、促进成果转化的高品质运行平台，打造产学研融通创新高地。</w:t>
      </w:r>
    </w:p>
    <w:p w14:paraId="2CA4E337">
      <w:pPr>
        <w:pStyle w:val="5"/>
        <w:spacing w:after="200"/>
        <w:jc w:val="center"/>
        <w:rPr>
          <w:rFonts w:eastAsia="华文中宋"/>
          <w:b w:val="0"/>
          <w:bCs w:val="0"/>
        </w:rPr>
      </w:pPr>
      <w:bookmarkStart w:id="60" w:name="_Toc60466215"/>
      <w:r>
        <w:rPr>
          <w:rFonts w:hint="eastAsia" w:ascii="方正楷体_GBK" w:hAnsi="方正楷体_GBK" w:eastAsia="方正楷体_GBK" w:cs="方正楷体_GBK"/>
          <w:b w:val="0"/>
          <w:bCs w:val="0"/>
        </w:rPr>
        <w:t>第二节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发挥高新区主阵地作用</w:t>
      </w:r>
      <w:bookmarkEnd w:id="60"/>
    </w:p>
    <w:p w14:paraId="1FDADDFF">
      <w:pPr>
        <w:spacing w:line="590" w:lineRule="exact"/>
        <w:ind w:firstLine="629"/>
        <w:rPr>
          <w:rFonts w:eastAsia="方正仿宋_GBK"/>
          <w:sz w:val="32"/>
          <w:szCs w:val="32"/>
        </w:rPr>
      </w:pPr>
      <w:r>
        <w:rPr>
          <w:rFonts w:hint="eastAsia" w:eastAsia="方正仿宋_GBK" w:cs="方正仿宋_GBK"/>
          <w:sz w:val="32"/>
          <w:szCs w:val="32"/>
        </w:rPr>
        <w:t>突出高新区主阵地作用，深化白下高新区综合改革，探索更多市场化运行机制，实施更精准的</w:t>
      </w:r>
      <w:r>
        <w:rPr>
          <w:rFonts w:eastAsia="方正仿宋_GBK"/>
          <w:sz w:val="32"/>
          <w:szCs w:val="32"/>
        </w:rPr>
        <w:t>KPI</w:t>
      </w:r>
      <w:r>
        <w:rPr>
          <w:rFonts w:hint="eastAsia" w:eastAsia="方正仿宋_GBK" w:cs="方正仿宋_GBK"/>
          <w:sz w:val="32"/>
          <w:szCs w:val="32"/>
        </w:rPr>
        <w:t>考核，深化人事和薪酬制度改革，项目化运行、扁平化管理，拉开拉大薪酬差距，切实形成以实绩论英雄、以质效论成效的鲜明导向。开展“五好团队”创建活动，锤练意志顽强、干事创业的干部队伍。突出党建引领，进一步厘清高新区行政审批行权能级，依法精简投资项目准入手续。深化智慧园区建设，培育提升一站式数字化管理平台，打造</w:t>
      </w:r>
      <w:r>
        <w:rPr>
          <w:rFonts w:eastAsia="方正仿宋_GBK"/>
          <w:sz w:val="32"/>
          <w:szCs w:val="32"/>
        </w:rPr>
        <w:t xml:space="preserve"> </w:t>
      </w:r>
      <w:r>
        <w:rPr>
          <w:rFonts w:hint="eastAsia" w:eastAsia="方正仿宋_GBK" w:cs="方正仿宋_GBK"/>
          <w:sz w:val="32"/>
          <w:szCs w:val="32"/>
        </w:rPr>
        <w:t>“智慧小白”服务新品牌，为高新区企业提供精准高效、全面覆盖的“</w:t>
      </w:r>
      <w:r>
        <w:rPr>
          <w:rFonts w:eastAsia="方正仿宋_GBK"/>
          <w:sz w:val="32"/>
          <w:szCs w:val="32"/>
        </w:rPr>
        <w:t>1+X</w:t>
      </w:r>
      <w:r>
        <w:rPr>
          <w:rFonts w:hint="eastAsia" w:eastAsia="方正仿宋_GBK" w:cs="方正仿宋_GBK"/>
          <w:sz w:val="32"/>
          <w:szCs w:val="32"/>
        </w:rPr>
        <w:t>”科技服务。加强“一区多园”一体化统筹管理和运营能力，探索建立高新区经济直管区与统筹服务区，做大做强资源总量，在新研机构培育、高新技术企业申报等创新指标完成，在智能车联网、认知物联网等产业发展上进一步提升贡献度占比。确保白下高新区位列省级高新区第一方阵。</w:t>
      </w:r>
    </w:p>
    <w:p w14:paraId="10D88BCC">
      <w:pPr>
        <w:pStyle w:val="2"/>
      </w:pPr>
    </w:p>
    <w:tbl>
      <w:tblPr>
        <w:tblStyle w:val="12"/>
        <w:tblW w:w="5000" w:type="pct"/>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6213B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3D24D68C">
            <w:pPr>
              <w:spacing w:line="520" w:lineRule="exact"/>
              <w:jc w:val="center"/>
              <w:rPr>
                <w:rFonts w:eastAsia="方正黑体简体"/>
                <w:sz w:val="24"/>
                <w:szCs w:val="24"/>
              </w:rPr>
            </w:pPr>
            <w:r>
              <w:rPr>
                <w:rFonts w:hint="eastAsia" w:eastAsia="方正黑体简体" w:cs="方正黑体简体"/>
                <w:sz w:val="24"/>
                <w:szCs w:val="24"/>
              </w:rPr>
              <w:t>专栏一：创新载体打造工程</w:t>
            </w:r>
          </w:p>
        </w:tc>
      </w:tr>
      <w:tr w14:paraId="0377D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4" w:hRule="atLeast"/>
        </w:trPr>
        <w:tc>
          <w:tcPr>
            <w:tcW w:w="5000" w:type="pct"/>
          </w:tcPr>
          <w:p w14:paraId="6379B6D6">
            <w:pPr>
              <w:spacing w:line="460" w:lineRule="exact"/>
              <w:jc w:val="left"/>
              <w:rPr>
                <w:sz w:val="22"/>
                <w:szCs w:val="22"/>
              </w:rPr>
            </w:pPr>
            <w:r>
              <w:rPr>
                <w:sz w:val="22"/>
                <w:szCs w:val="22"/>
              </w:rPr>
              <w:t>1</w:t>
            </w:r>
            <w:r>
              <w:rPr>
                <w:rFonts w:hint="eastAsia" w:cs="宋体"/>
                <w:sz w:val="22"/>
                <w:szCs w:val="22"/>
              </w:rPr>
              <w:t>、白下高新区：开工建设白下高新新型都市工业园、高新开发区数字经济大厦；建成智能交通产业园、白下高新数据产业园、人工智能产业大厦、天安数码城二期、中日合作创新园、新化原总部等载体</w:t>
            </w:r>
          </w:p>
          <w:p w14:paraId="775BD93F">
            <w:pPr>
              <w:spacing w:line="460" w:lineRule="exact"/>
              <w:jc w:val="left"/>
              <w:rPr>
                <w:rFonts w:eastAsia="方正小标宋_GBK"/>
                <w:sz w:val="24"/>
                <w:szCs w:val="24"/>
              </w:rPr>
            </w:pPr>
            <w:r>
              <w:rPr>
                <w:sz w:val="22"/>
                <w:szCs w:val="22"/>
              </w:rPr>
              <w:t>2</w:t>
            </w:r>
            <w:r>
              <w:rPr>
                <w:rFonts w:hint="eastAsia" w:cs="宋体"/>
                <w:sz w:val="22"/>
                <w:szCs w:val="22"/>
              </w:rPr>
              <w:t>、秦淮硅巷：支持江苏无线电厂综合电子产品研发基地、宏光科技大厦、至美科技广场等社会主体自建科创载体建设；加快创意东八区等科创园区更新改造；启动门西数字生活街区、秦淮智慧产业孵化园建设；完成航空发展大楼、金陵智造研究院、普天</w:t>
            </w:r>
            <w:r>
              <w:rPr>
                <w:sz w:val="22"/>
                <w:szCs w:val="22"/>
              </w:rPr>
              <w:t>1</w:t>
            </w:r>
            <w:r>
              <w:rPr>
                <w:rFonts w:hint="eastAsia" w:cs="宋体"/>
                <w:sz w:val="22"/>
                <w:szCs w:val="22"/>
              </w:rPr>
              <w:t>号</w:t>
            </w:r>
            <w:r>
              <w:rPr>
                <w:sz w:val="22"/>
                <w:szCs w:val="22"/>
              </w:rPr>
              <w:t>518</w:t>
            </w:r>
            <w:r>
              <w:rPr>
                <w:rFonts w:hint="eastAsia" w:cs="宋体"/>
                <w:sz w:val="22"/>
                <w:szCs w:val="22"/>
              </w:rPr>
              <w:t>街区建设</w:t>
            </w:r>
          </w:p>
        </w:tc>
      </w:tr>
    </w:tbl>
    <w:p w14:paraId="1106DC76">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61" w:name="_Toc60466216"/>
      <w:r>
        <w:rPr>
          <w:rFonts w:hint="eastAsia" w:ascii="方正黑体_GBK" w:hAnsi="方正黑体_GBK" w:eastAsia="方正黑体_GBK" w:cs="方正黑体_GBK"/>
          <w:b w:val="0"/>
          <w:bCs w:val="0"/>
        </w:rPr>
        <w:t>第五章</w:t>
      </w:r>
      <w:bookmarkStart w:id="62" w:name="_Toc26635"/>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培育高能级科创森林</w:t>
      </w:r>
      <w:bookmarkEnd w:id="61"/>
    </w:p>
    <w:p w14:paraId="33E91307">
      <w:pPr>
        <w:pStyle w:val="5"/>
        <w:spacing w:after="200"/>
        <w:jc w:val="center"/>
        <w:rPr>
          <w:rFonts w:eastAsia="华文中宋"/>
          <w:b w:val="0"/>
          <w:bCs w:val="0"/>
        </w:rPr>
      </w:pPr>
      <w:bookmarkStart w:id="63" w:name="_Toc60466217"/>
      <w:r>
        <w:rPr>
          <w:rFonts w:hint="eastAsia" w:ascii="方正楷体_GBK" w:hAnsi="方正楷体_GBK" w:eastAsia="方正楷体_GBK" w:cs="方正楷体_GBK"/>
          <w:b w:val="0"/>
          <w:bCs w:val="0"/>
        </w:rPr>
        <w:t>第一节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做强新型研发机构</w:t>
      </w:r>
      <w:bookmarkEnd w:id="63"/>
    </w:p>
    <w:p w14:paraId="7D5BEDD2">
      <w:pPr>
        <w:spacing w:line="590" w:lineRule="exact"/>
        <w:ind w:firstLine="629"/>
        <w:rPr>
          <w:rFonts w:eastAsia="方正仿宋_GBK"/>
          <w:sz w:val="32"/>
          <w:szCs w:val="32"/>
        </w:rPr>
      </w:pPr>
      <w:r>
        <w:rPr>
          <w:rFonts w:hint="eastAsia" w:eastAsia="方正仿宋_GBK" w:cs="方正仿宋_GBK"/>
          <w:sz w:val="32"/>
          <w:szCs w:val="32"/>
        </w:rPr>
        <w:t>实施新型研发机构质态提升计划，助力提升新研机构转化科技成果能力、孵化科技企业能力和管理运营能力。</w:t>
      </w:r>
      <w:bookmarkEnd w:id="62"/>
      <w:r>
        <w:rPr>
          <w:rFonts w:hint="eastAsia" w:eastAsia="方正仿宋_GBK" w:cs="方正仿宋_GBK"/>
          <w:sz w:val="32"/>
          <w:szCs w:val="32"/>
        </w:rPr>
        <w:t>探索模式创新，积极构建省市协同发展的产业技术研究院体系，加快推进智仁景行、六季光电等新研项目运营达效。支持龙头企业联合共建新型研发机构，加大核心企业、关键技术、潜力项目的支持力度，加大创新型中小企业孵化工作力度，实现“传帮带”。优化考核评价，完善指标体系，强化跟踪辅导，重点关注研发投入、高企孵化等关联性强、影响力大的创新指标，切实以创新发展论英雄。强化科学管理。支持新型研发机构引进职业经理人，推动社会资本介入，探索科技项目“揭榜挂帅”、项目经费“包干”等模式和制度探索，提升市场化运作效率。到</w:t>
      </w:r>
      <w:r>
        <w:rPr>
          <w:rFonts w:eastAsia="方正仿宋_GBK"/>
          <w:sz w:val="32"/>
          <w:szCs w:val="32"/>
        </w:rPr>
        <w:t>2025</w:t>
      </w:r>
      <w:r>
        <w:rPr>
          <w:rFonts w:hint="eastAsia" w:eastAsia="方正仿宋_GBK" w:cs="方正仿宋_GBK"/>
          <w:sz w:val="32"/>
          <w:szCs w:val="32"/>
        </w:rPr>
        <w:t>年，累计在孵企业数量</w:t>
      </w:r>
      <w:r>
        <w:rPr>
          <w:rFonts w:eastAsia="方正仿宋_GBK"/>
          <w:sz w:val="32"/>
          <w:szCs w:val="32"/>
        </w:rPr>
        <w:t>3000</w:t>
      </w:r>
      <w:r>
        <w:rPr>
          <w:rFonts w:hint="eastAsia" w:eastAsia="方正仿宋_GBK" w:cs="方正仿宋_GBK"/>
          <w:sz w:val="32"/>
          <w:szCs w:val="32"/>
        </w:rPr>
        <w:t>家，市级以上孵化器</w:t>
      </w:r>
      <w:r>
        <w:rPr>
          <w:rFonts w:eastAsia="方正仿宋_GBK"/>
          <w:sz w:val="32"/>
          <w:szCs w:val="32"/>
        </w:rPr>
        <w:t>25</w:t>
      </w:r>
      <w:r>
        <w:rPr>
          <w:rFonts w:hint="eastAsia" w:eastAsia="方正仿宋_GBK" w:cs="方正仿宋_GBK"/>
          <w:sz w:val="32"/>
          <w:szCs w:val="32"/>
        </w:rPr>
        <w:t>家，市级以上众创空间</w:t>
      </w:r>
      <w:r>
        <w:rPr>
          <w:rFonts w:eastAsia="方正仿宋_GBK"/>
          <w:sz w:val="32"/>
          <w:szCs w:val="32"/>
        </w:rPr>
        <w:t>33</w:t>
      </w:r>
      <w:r>
        <w:rPr>
          <w:rFonts w:hint="eastAsia" w:eastAsia="方正仿宋_GBK" w:cs="方正仿宋_GBK"/>
          <w:sz w:val="32"/>
          <w:szCs w:val="32"/>
        </w:rPr>
        <w:t>家，培育国际一流新型研发机构</w:t>
      </w:r>
      <w:r>
        <w:rPr>
          <w:rFonts w:eastAsia="方正仿宋_GBK"/>
          <w:sz w:val="32"/>
          <w:szCs w:val="32"/>
        </w:rPr>
        <w:t>2-3</w:t>
      </w:r>
      <w:r>
        <w:rPr>
          <w:rFonts w:hint="eastAsia" w:eastAsia="方正仿宋_GBK" w:cs="方正仿宋_GBK"/>
          <w:sz w:val="32"/>
          <w:szCs w:val="32"/>
        </w:rPr>
        <w:t>家。</w:t>
      </w:r>
    </w:p>
    <w:tbl>
      <w:tblPr>
        <w:tblStyle w:val="12"/>
        <w:tblW w:w="5000" w:type="pct"/>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3D2A2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tcPr>
          <w:p w14:paraId="2FCD8F1F">
            <w:pPr>
              <w:spacing w:line="520" w:lineRule="exact"/>
              <w:jc w:val="center"/>
              <w:rPr>
                <w:rFonts w:eastAsia="方正黑体_GBK"/>
                <w:sz w:val="24"/>
                <w:szCs w:val="24"/>
              </w:rPr>
            </w:pPr>
            <w:r>
              <w:rPr>
                <w:rFonts w:hint="eastAsia" w:eastAsia="方正黑体简体" w:cs="方正黑体简体"/>
                <w:sz w:val="24"/>
                <w:szCs w:val="24"/>
              </w:rPr>
              <w:t>专栏二：新型研发机构重点项目</w:t>
            </w:r>
          </w:p>
        </w:tc>
      </w:tr>
      <w:tr w14:paraId="1C014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trPr>
        <w:tc>
          <w:tcPr>
            <w:tcW w:w="5000" w:type="pct"/>
          </w:tcPr>
          <w:p w14:paraId="42FC9D6E">
            <w:pPr>
              <w:spacing w:line="440" w:lineRule="exact"/>
              <w:jc w:val="left"/>
              <w:rPr>
                <w:sz w:val="22"/>
                <w:szCs w:val="22"/>
              </w:rPr>
            </w:pPr>
            <w:r>
              <w:rPr>
                <w:sz w:val="22"/>
                <w:szCs w:val="22"/>
              </w:rPr>
              <w:t>1</w:t>
            </w:r>
            <w:r>
              <w:rPr>
                <w:rFonts w:hint="eastAsia" w:cs="宋体"/>
                <w:sz w:val="22"/>
                <w:szCs w:val="22"/>
              </w:rPr>
              <w:t>、江苏智仁景行新材料研究院：通过关键技术开发、成果转化与孵化、创新创业团队的引育，建成国家重大成果转化、南京理工大学双创、校企联合研发等示范基地</w:t>
            </w:r>
          </w:p>
          <w:p w14:paraId="789CE196">
            <w:pPr>
              <w:spacing w:line="440" w:lineRule="exact"/>
              <w:jc w:val="left"/>
              <w:rPr>
                <w:sz w:val="22"/>
                <w:szCs w:val="22"/>
              </w:rPr>
            </w:pPr>
            <w:r>
              <w:rPr>
                <w:sz w:val="22"/>
                <w:szCs w:val="22"/>
              </w:rPr>
              <w:t>2</w:t>
            </w:r>
            <w:r>
              <w:rPr>
                <w:rFonts w:hint="eastAsia" w:cs="宋体"/>
                <w:sz w:val="22"/>
                <w:szCs w:val="22"/>
              </w:rPr>
              <w:t>、南京中电芯谷高频器件产业技术研究院：依托微波毫米波单片集成电路与模块国家级重点实验室、中国电科五十五所，聚焦高频电子器件领域，建成国内一流的高频器件产业孵化平台，推进高频器件产业化进程</w:t>
            </w:r>
          </w:p>
          <w:p w14:paraId="0D73A42C">
            <w:pPr>
              <w:spacing w:line="440" w:lineRule="exact"/>
              <w:jc w:val="left"/>
              <w:rPr>
                <w:sz w:val="22"/>
                <w:szCs w:val="22"/>
              </w:rPr>
            </w:pPr>
            <w:r>
              <w:rPr>
                <w:sz w:val="22"/>
                <w:szCs w:val="22"/>
              </w:rPr>
              <w:t>3</w:t>
            </w:r>
            <w:r>
              <w:rPr>
                <w:rFonts w:hint="eastAsia" w:cs="宋体"/>
                <w:sz w:val="22"/>
                <w:szCs w:val="22"/>
              </w:rPr>
              <w:t>、南京莱斯网信技术研究院：通过与政府、科研院所以及相关高科技企业开展市场化的研发合作，促进技术转移转化和新业务培育，打造“国内唯一、国际一流”的以网信技术为核心的军民用信息系统产业生态</w:t>
            </w:r>
          </w:p>
          <w:p w14:paraId="0E485F83">
            <w:pPr>
              <w:spacing w:line="440" w:lineRule="exact"/>
              <w:jc w:val="left"/>
              <w:rPr>
                <w:sz w:val="22"/>
                <w:szCs w:val="22"/>
              </w:rPr>
            </w:pPr>
            <w:r>
              <w:rPr>
                <w:sz w:val="22"/>
                <w:szCs w:val="22"/>
              </w:rPr>
              <w:t>4</w:t>
            </w:r>
            <w:r>
              <w:rPr>
                <w:rFonts w:hint="eastAsia" w:cs="宋体"/>
                <w:sz w:val="22"/>
                <w:szCs w:val="22"/>
              </w:rPr>
              <w:t>、南京钟山虚拟现实技术研究院：通过与南京理工大学国家技术转移示范中心合作，依托两个国家级虚拟仿真实验教学中心以及教育部重点实验室、江苏省重点实验室，引入最新的虚拟现实技术装备和算法成果，围绕军事训练仿真和医药教育仿真展开核心技术开发和研究，并推动产学研成果高效转化</w:t>
            </w:r>
          </w:p>
          <w:p w14:paraId="3264580D">
            <w:pPr>
              <w:spacing w:line="440" w:lineRule="exact"/>
              <w:jc w:val="left"/>
              <w:rPr>
                <w:sz w:val="22"/>
                <w:szCs w:val="22"/>
              </w:rPr>
            </w:pPr>
            <w:r>
              <w:rPr>
                <w:sz w:val="22"/>
                <w:szCs w:val="22"/>
              </w:rPr>
              <w:t>5</w:t>
            </w:r>
            <w:r>
              <w:rPr>
                <w:rFonts w:hint="eastAsia" w:cs="宋体"/>
                <w:sz w:val="22"/>
                <w:szCs w:val="22"/>
              </w:rPr>
              <w:t>、江苏江航智飞机发动机部件研究院：通过与中国航发集团航空工业材料院、南京航空航天大学合作，共建院士工作站、研究生工作站和工程技术中心，重点研发飞机发动机整体构件制造和飞机发动机零部件再生制造新技术</w:t>
            </w:r>
          </w:p>
          <w:p w14:paraId="59C9AA3F">
            <w:pPr>
              <w:spacing w:line="440" w:lineRule="exact"/>
              <w:jc w:val="left"/>
              <w:rPr>
                <w:rFonts w:eastAsia="方正仿宋_GBK"/>
                <w:sz w:val="24"/>
                <w:szCs w:val="24"/>
              </w:rPr>
            </w:pPr>
            <w:r>
              <w:rPr>
                <w:sz w:val="22"/>
                <w:szCs w:val="22"/>
              </w:rPr>
              <w:t>6</w:t>
            </w:r>
            <w:r>
              <w:rPr>
                <w:rFonts w:hint="eastAsia" w:cs="宋体"/>
                <w:sz w:val="22"/>
                <w:szCs w:val="22"/>
              </w:rPr>
              <w:t>、南京六季光电技术研究院：打造产业研究与产业转化为一体的高科技平台，力求将高校的研究成果与实际应用进行结合，立足需求不断进行研发迭代；同时培养行业顶尖人才团队，对接各企业产业转化需求，带动经济增长新动力，达成高效、共赢的合作模式</w:t>
            </w:r>
          </w:p>
        </w:tc>
      </w:tr>
    </w:tbl>
    <w:p w14:paraId="43888D37">
      <w:pPr>
        <w:pStyle w:val="5"/>
        <w:spacing w:after="200"/>
        <w:jc w:val="center"/>
        <w:rPr>
          <w:rFonts w:ascii="方正楷体_GBK" w:hAnsi="方正楷体_GBK" w:eastAsia="方正楷体_GBK"/>
          <w:b w:val="0"/>
          <w:bCs w:val="0"/>
        </w:rPr>
      </w:pPr>
      <w:bookmarkStart w:id="64" w:name="_Toc60466218"/>
      <w:r>
        <w:rPr>
          <w:rFonts w:hint="eastAsia" w:ascii="方正楷体_GBK" w:hAnsi="方正楷体_GBK" w:eastAsia="方正楷体_GBK" w:cs="方正楷体_GBK"/>
          <w:b w:val="0"/>
          <w:bCs w:val="0"/>
        </w:rPr>
        <w:t>第二节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释放企业创新动能</w:t>
      </w:r>
      <w:bookmarkEnd w:id="64"/>
    </w:p>
    <w:p w14:paraId="7C19BCAB">
      <w:pPr>
        <w:spacing w:line="590" w:lineRule="exact"/>
        <w:ind w:firstLine="629"/>
        <w:rPr>
          <w:rFonts w:eastAsia="方正仿宋_GBK"/>
          <w:sz w:val="32"/>
          <w:szCs w:val="32"/>
        </w:rPr>
      </w:pPr>
      <w:r>
        <w:rPr>
          <w:rFonts w:hint="eastAsia" w:eastAsia="方正仿宋_GBK" w:cs="方正仿宋_GBK"/>
          <w:sz w:val="32"/>
          <w:szCs w:val="32"/>
        </w:rPr>
        <w:t>强化企业创新主体地位，建立完善创新型企业梯度发展推进机制，实施科技型企业培育计划，促进创新要素向企业集聚，打造一批创新能力强、发展速度快、专业领域新、市场潜力大的高成长性企业。聚焦云计算、大数据、工业互联网、共享经济、</w:t>
      </w:r>
      <w:r>
        <w:rPr>
          <w:rFonts w:eastAsia="方正仿宋_GBK"/>
          <w:sz w:val="32"/>
          <w:szCs w:val="32"/>
        </w:rPr>
        <w:t>5G</w:t>
      </w:r>
      <w:r>
        <w:rPr>
          <w:rFonts w:hint="eastAsia" w:eastAsia="方正仿宋_GBK" w:cs="方正仿宋_GBK"/>
          <w:sz w:val="32"/>
          <w:szCs w:val="32"/>
        </w:rPr>
        <w:t>应用等领域，引进培育一批数字经济龙头企业，加速龙头企业云端化、平台化、服务化转型，支持本地骨干企业培育自主品牌，带动本地供应链企业协同发展，支持鼓励企业在境内外、多层次资本市场挂牌上市。鼓励数字经济企业开展跨界产业资源并购和重组，“一企一策”重点扶持。支持企业建设开源开放平台，围绕产业价值网络构建生态体系。把握企业成长主线，实施梯度培育，构建“科技创新小微企业</w:t>
      </w:r>
      <w:r>
        <w:rPr>
          <w:rFonts w:eastAsia="方正仿宋_GBK"/>
          <w:sz w:val="32"/>
          <w:szCs w:val="32"/>
        </w:rPr>
        <w:t>—</w:t>
      </w:r>
      <w:r>
        <w:rPr>
          <w:rFonts w:hint="eastAsia" w:eastAsia="方正仿宋_GBK" w:cs="方正仿宋_GBK"/>
          <w:sz w:val="32"/>
          <w:szCs w:val="32"/>
        </w:rPr>
        <w:t>高新技术企业</w:t>
      </w:r>
      <w:r>
        <w:rPr>
          <w:rFonts w:eastAsia="方正仿宋_GBK"/>
          <w:sz w:val="32"/>
          <w:szCs w:val="32"/>
        </w:rPr>
        <w:t>—</w:t>
      </w:r>
      <w:r>
        <w:rPr>
          <w:rFonts w:hint="eastAsia" w:eastAsia="方正仿宋_GBK" w:cs="方正仿宋_GBK"/>
          <w:sz w:val="32"/>
          <w:szCs w:val="32"/>
        </w:rPr>
        <w:t>行业创新标杆企业”全链条、集群化培育体系，建设重点实验室、工程（技术）研究中心、企业技术中心等研发机构，推动规模以上高新技术企业研发机构全覆盖。实施高技术高成长企业分类支持，建立完善高新技术、独角兽、瞪羚企业培育库，实施“专精特新”、“单项冠军”等企业培育计划，将企业按推荐期、成长期、初创期和种子期进行分类，开展分类引导和重点培训。到</w:t>
      </w:r>
      <w:r>
        <w:rPr>
          <w:rFonts w:eastAsia="方正仿宋_GBK"/>
          <w:sz w:val="32"/>
          <w:szCs w:val="32"/>
        </w:rPr>
        <w:t>2025</w:t>
      </w:r>
      <w:r>
        <w:rPr>
          <w:rFonts w:hint="eastAsia" w:eastAsia="方正仿宋_GBK" w:cs="方正仿宋_GBK"/>
          <w:sz w:val="32"/>
          <w:szCs w:val="32"/>
        </w:rPr>
        <w:t>年，瞪羚、培育独角兽、独角兽等高成长企业达</w:t>
      </w:r>
      <w:r>
        <w:rPr>
          <w:rFonts w:eastAsia="方正仿宋_GBK"/>
          <w:sz w:val="32"/>
          <w:szCs w:val="32"/>
        </w:rPr>
        <w:t>100</w:t>
      </w:r>
      <w:r>
        <w:rPr>
          <w:rFonts w:hint="eastAsia" w:eastAsia="方正仿宋_GBK" w:cs="方正仿宋_GBK"/>
          <w:sz w:val="32"/>
          <w:szCs w:val="32"/>
        </w:rPr>
        <w:t>家，高企数量达</w:t>
      </w:r>
      <w:r>
        <w:rPr>
          <w:rFonts w:eastAsia="方正仿宋_GBK"/>
          <w:sz w:val="32"/>
          <w:szCs w:val="32"/>
        </w:rPr>
        <w:t>1300</w:t>
      </w:r>
      <w:r>
        <w:rPr>
          <w:rFonts w:hint="eastAsia" w:eastAsia="方正仿宋_GBK" w:cs="方正仿宋_GBK"/>
          <w:sz w:val="32"/>
          <w:szCs w:val="32"/>
        </w:rPr>
        <w:t>家。</w:t>
      </w:r>
    </w:p>
    <w:p w14:paraId="357A3873">
      <w:pPr>
        <w:pStyle w:val="2"/>
        <w:rPr>
          <w:rFonts w:eastAsia="方正仿宋_GBK"/>
          <w:sz w:val="32"/>
          <w:szCs w:val="32"/>
        </w:rPr>
      </w:pPr>
    </w:p>
    <w:p w14:paraId="69035237">
      <w:pPr>
        <w:pStyle w:val="2"/>
        <w:rPr>
          <w:rFonts w:eastAsia="方正仿宋_GBK"/>
          <w:sz w:val="32"/>
          <w:szCs w:val="32"/>
        </w:rPr>
      </w:pPr>
    </w:p>
    <w:tbl>
      <w:tblPr>
        <w:tblStyle w:val="12"/>
        <w:tblW w:w="5000" w:type="pct"/>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33B76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162DDEEC">
            <w:pPr>
              <w:spacing w:line="520" w:lineRule="exact"/>
              <w:jc w:val="center"/>
              <w:rPr>
                <w:rFonts w:eastAsia="方正黑体_GBK"/>
                <w:sz w:val="24"/>
                <w:szCs w:val="24"/>
              </w:rPr>
            </w:pPr>
            <w:r>
              <w:rPr>
                <w:rFonts w:hint="eastAsia" w:eastAsia="方正黑体简体" w:cs="方正黑体简体"/>
                <w:sz w:val="24"/>
                <w:szCs w:val="24"/>
              </w:rPr>
              <w:t>专栏三：创新平台与示范应用</w:t>
            </w:r>
          </w:p>
        </w:tc>
      </w:tr>
      <w:tr w14:paraId="4CEC0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5000" w:type="pct"/>
          </w:tcPr>
          <w:p w14:paraId="1530E065">
            <w:pPr>
              <w:spacing w:line="440" w:lineRule="exact"/>
              <w:jc w:val="left"/>
              <w:rPr>
                <w:sz w:val="22"/>
                <w:szCs w:val="22"/>
              </w:rPr>
            </w:pPr>
            <w:r>
              <w:rPr>
                <w:rFonts w:hint="eastAsia" w:cs="宋体"/>
                <w:sz w:val="22"/>
                <w:szCs w:val="22"/>
              </w:rPr>
              <w:t>（一）智慧秦淮平台</w:t>
            </w:r>
          </w:p>
          <w:p w14:paraId="5CB63034">
            <w:pPr>
              <w:spacing w:line="440" w:lineRule="exact"/>
              <w:jc w:val="left"/>
              <w:rPr>
                <w:sz w:val="22"/>
                <w:szCs w:val="22"/>
              </w:rPr>
            </w:pPr>
            <w:r>
              <w:rPr>
                <w:sz w:val="22"/>
                <w:szCs w:val="22"/>
              </w:rPr>
              <w:t>1</w:t>
            </w:r>
            <w:r>
              <w:rPr>
                <w:rFonts w:hint="eastAsia" w:cs="宋体"/>
                <w:sz w:val="22"/>
                <w:szCs w:val="22"/>
              </w:rPr>
              <w:t>、新一代信息基础设施：建设物联网接入平台，有效实现传感赋能、连接赋能和平台赋能；整合接入已有物联感知设备数据，与区级视频资源共享平台实现互联互通；实现秦淮区</w:t>
            </w:r>
            <w:r>
              <w:rPr>
                <w:sz w:val="22"/>
                <w:szCs w:val="22"/>
              </w:rPr>
              <w:t>5G</w:t>
            </w:r>
            <w:r>
              <w:rPr>
                <w:rFonts w:hint="eastAsia" w:cs="宋体"/>
                <w:sz w:val="22"/>
                <w:szCs w:val="22"/>
              </w:rPr>
              <w:t>网络全覆盖</w:t>
            </w:r>
          </w:p>
          <w:p w14:paraId="69F70180">
            <w:pPr>
              <w:spacing w:line="440" w:lineRule="exact"/>
              <w:jc w:val="left"/>
              <w:rPr>
                <w:sz w:val="22"/>
                <w:szCs w:val="22"/>
              </w:rPr>
            </w:pPr>
            <w:r>
              <w:rPr>
                <w:sz w:val="22"/>
                <w:szCs w:val="22"/>
              </w:rPr>
              <w:t>2</w:t>
            </w:r>
            <w:r>
              <w:rPr>
                <w:rFonts w:hint="eastAsia" w:cs="宋体"/>
                <w:sz w:val="22"/>
                <w:szCs w:val="22"/>
              </w:rPr>
              <w:t>、城市大脑：加快建设城市运行管理中心建设，推进数据共享交换平台、共性支撑平台、城市运行管理平台建设，开展数据治理与服务</w:t>
            </w:r>
          </w:p>
          <w:p w14:paraId="18B0E302">
            <w:pPr>
              <w:spacing w:line="440" w:lineRule="exact"/>
              <w:jc w:val="left"/>
              <w:rPr>
                <w:sz w:val="22"/>
                <w:szCs w:val="22"/>
              </w:rPr>
            </w:pPr>
            <w:r>
              <w:rPr>
                <w:rFonts w:hint="eastAsia" w:cs="宋体"/>
                <w:sz w:val="22"/>
                <w:szCs w:val="22"/>
              </w:rPr>
              <w:t>（二）产业技术创新平台</w:t>
            </w:r>
          </w:p>
          <w:p w14:paraId="0D068FC7">
            <w:pPr>
              <w:spacing w:line="440" w:lineRule="exact"/>
              <w:jc w:val="left"/>
              <w:rPr>
                <w:sz w:val="22"/>
                <w:szCs w:val="22"/>
              </w:rPr>
            </w:pPr>
            <w:r>
              <w:rPr>
                <w:sz w:val="22"/>
                <w:szCs w:val="22"/>
              </w:rPr>
              <w:t>1</w:t>
            </w:r>
            <w:r>
              <w:rPr>
                <w:rFonts w:hint="eastAsia" w:cs="宋体"/>
                <w:sz w:val="22"/>
                <w:szCs w:val="22"/>
              </w:rPr>
              <w:t>、数据资源中心：以新一代信息技术与制造业深度融合发展为主线，加快推进工业互联网创新发展，加大企业内网改造、工业互联网平台、企业上云等支持力度，推动科技企业数字化、网络化和智能化转型</w:t>
            </w:r>
          </w:p>
          <w:p w14:paraId="15091D76">
            <w:pPr>
              <w:spacing w:line="440" w:lineRule="exact"/>
              <w:jc w:val="left"/>
              <w:rPr>
                <w:sz w:val="22"/>
                <w:szCs w:val="22"/>
              </w:rPr>
            </w:pPr>
            <w:r>
              <w:rPr>
                <w:sz w:val="22"/>
                <w:szCs w:val="22"/>
              </w:rPr>
              <w:t>2</w:t>
            </w:r>
            <w:r>
              <w:rPr>
                <w:rFonts w:hint="eastAsia" w:cs="宋体"/>
                <w:sz w:val="22"/>
                <w:szCs w:val="22"/>
              </w:rPr>
              <w:t>、科技创新平台：新增院士工作站、重点实验室、市级以上工程技术研究中心等企业研发</w:t>
            </w:r>
          </w:p>
          <w:p w14:paraId="1EB0288D">
            <w:pPr>
              <w:spacing w:line="440" w:lineRule="exact"/>
              <w:jc w:val="left"/>
              <w:rPr>
                <w:sz w:val="22"/>
                <w:szCs w:val="22"/>
              </w:rPr>
            </w:pPr>
            <w:r>
              <w:rPr>
                <w:rFonts w:hint="eastAsia" w:cs="宋体"/>
                <w:sz w:val="22"/>
                <w:szCs w:val="22"/>
              </w:rPr>
              <w:t>机构</w:t>
            </w:r>
            <w:r>
              <w:rPr>
                <w:sz w:val="22"/>
                <w:szCs w:val="22"/>
              </w:rPr>
              <w:t>20</w:t>
            </w:r>
            <w:r>
              <w:rPr>
                <w:rFonts w:hint="eastAsia" w:cs="宋体"/>
                <w:sz w:val="22"/>
                <w:szCs w:val="22"/>
              </w:rPr>
              <w:t>家</w:t>
            </w:r>
          </w:p>
          <w:p w14:paraId="6DF42E8C">
            <w:pPr>
              <w:spacing w:line="440" w:lineRule="exact"/>
              <w:jc w:val="left"/>
              <w:rPr>
                <w:sz w:val="22"/>
                <w:szCs w:val="22"/>
              </w:rPr>
            </w:pPr>
            <w:r>
              <w:rPr>
                <w:sz w:val="22"/>
                <w:szCs w:val="22"/>
              </w:rPr>
              <w:t>3</w:t>
            </w:r>
            <w:r>
              <w:rPr>
                <w:rFonts w:hint="eastAsia" w:cs="宋体"/>
                <w:sz w:val="22"/>
                <w:szCs w:val="22"/>
              </w:rPr>
              <w:t>、升级版创新热图：嫁接人才、中介服务、载体以及资本等创新资源，构建以人才为核心的创新链，以企业为核心的产业链、以金融为核心的资本链，以及以中介机构、载体等要素为支撑的服务链等“四链融合”的创新热图</w:t>
            </w:r>
          </w:p>
          <w:p w14:paraId="63B6B738">
            <w:pPr>
              <w:spacing w:line="440" w:lineRule="exact"/>
              <w:jc w:val="left"/>
              <w:rPr>
                <w:sz w:val="22"/>
                <w:szCs w:val="22"/>
              </w:rPr>
            </w:pPr>
            <w:r>
              <w:rPr>
                <w:rFonts w:hint="eastAsia" w:cs="宋体"/>
                <w:sz w:val="22"/>
                <w:szCs w:val="22"/>
              </w:rPr>
              <w:t>（三）示范应用</w:t>
            </w:r>
          </w:p>
          <w:p w14:paraId="502A7A22">
            <w:pPr>
              <w:spacing w:line="440" w:lineRule="exact"/>
              <w:jc w:val="left"/>
              <w:rPr>
                <w:sz w:val="22"/>
                <w:szCs w:val="22"/>
              </w:rPr>
            </w:pPr>
            <w:r>
              <w:rPr>
                <w:sz w:val="22"/>
                <w:szCs w:val="22"/>
              </w:rPr>
              <w:t>1</w:t>
            </w:r>
            <w:r>
              <w:rPr>
                <w:rFonts w:hint="eastAsia" w:cs="宋体"/>
                <w:sz w:val="22"/>
                <w:szCs w:val="22"/>
              </w:rPr>
              <w:t>、拓展车联网、智慧医疗、智慧教育、智慧文旅、智慧社区等场景应用，形成示范</w:t>
            </w:r>
          </w:p>
          <w:p w14:paraId="76199A5E">
            <w:pPr>
              <w:spacing w:line="440" w:lineRule="exact"/>
              <w:jc w:val="left"/>
              <w:rPr>
                <w:sz w:val="22"/>
                <w:szCs w:val="22"/>
              </w:rPr>
            </w:pPr>
            <w:r>
              <w:rPr>
                <w:sz w:val="22"/>
                <w:szCs w:val="22"/>
              </w:rPr>
              <w:t>2</w:t>
            </w:r>
            <w:r>
              <w:rPr>
                <w:rFonts w:hint="eastAsia" w:cs="宋体"/>
                <w:sz w:val="22"/>
                <w:szCs w:val="22"/>
              </w:rPr>
              <w:t>、构建“统一灵活、安全可靠、集约前瞻”的政务服务支撑网络，逐步完善网络安全防护体系，加快构建关键信息基础设施安全保障体系，提升区政务网络安全防护能力</w:t>
            </w:r>
          </w:p>
        </w:tc>
      </w:tr>
    </w:tbl>
    <w:p w14:paraId="11EC047C">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65" w:name="_Toc60466220"/>
      <w:r>
        <w:rPr>
          <w:rFonts w:hint="eastAsia" w:ascii="方正黑体_GBK" w:hAnsi="方正黑体_GBK" w:eastAsia="方正黑体_GBK" w:cs="方正黑体_GBK"/>
          <w:b w:val="0"/>
          <w:bCs w:val="0"/>
        </w:rPr>
        <w:t>第六章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吸纳高层次创新创业人才</w:t>
      </w:r>
      <w:bookmarkEnd w:id="65"/>
    </w:p>
    <w:p w14:paraId="50ED668C">
      <w:pPr>
        <w:pStyle w:val="5"/>
        <w:spacing w:before="200" w:after="160"/>
        <w:jc w:val="center"/>
        <w:rPr>
          <w:rFonts w:ascii="方正楷体_GBK" w:hAnsi="方正楷体_GBK" w:eastAsia="方正楷体_GBK"/>
          <w:b w:val="0"/>
          <w:bCs w:val="0"/>
        </w:rPr>
      </w:pPr>
      <w:bookmarkStart w:id="66" w:name="_Toc60466221"/>
      <w:r>
        <w:rPr>
          <w:rFonts w:hint="eastAsia" w:ascii="方正楷体_GBK" w:hAnsi="方正楷体_GBK" w:eastAsia="方正楷体_GBK" w:cs="方正楷体_GBK"/>
          <w:b w:val="0"/>
          <w:bCs w:val="0"/>
        </w:rPr>
        <w:t>第一节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打造区域产才融合高地</w:t>
      </w:r>
      <w:bookmarkEnd w:id="66"/>
    </w:p>
    <w:p w14:paraId="0D2A5CE6">
      <w:pPr>
        <w:spacing w:line="590" w:lineRule="exact"/>
        <w:ind w:firstLine="629"/>
        <w:rPr>
          <w:rFonts w:eastAsia="方正仿宋_GBK"/>
          <w:sz w:val="32"/>
          <w:szCs w:val="32"/>
        </w:rPr>
      </w:pPr>
      <w:r>
        <w:rPr>
          <w:rFonts w:hint="eastAsia" w:eastAsia="方正仿宋_GBK" w:cs="方正仿宋_GBK"/>
          <w:sz w:val="32"/>
          <w:szCs w:val="32"/>
        </w:rPr>
        <w:t>围绕八大产业链和“</w:t>
      </w:r>
      <w:r>
        <w:rPr>
          <w:rFonts w:eastAsia="方正仿宋_GBK"/>
          <w:sz w:val="32"/>
          <w:szCs w:val="32"/>
        </w:rPr>
        <w:t>4+4</w:t>
      </w:r>
      <w:r>
        <w:rPr>
          <w:rFonts w:hint="eastAsia" w:eastAsia="方正仿宋_GBK" w:cs="方正仿宋_GBK"/>
          <w:sz w:val="32"/>
          <w:szCs w:val="32"/>
        </w:rPr>
        <w:t>”产业体系精准引才，创建分产业、分行业、分产业链的创新人才数据库，构建车联网、物联网、人工智能等重点产业人才链。围绕重点产业领域建设科技创新专家智库，定期开展人才论坛、圆桌峰会等活动，汇聚各领域高端人才建言献策，促进前瞻性、战略性、创新性研究，形成“小中心、大外围”的智库外脑支撑。打造众创平台。依托科技园区、高校院所、重点实验室、工程技术研究中心等科技创新平台，积极发展创业园、创业基地、创业社区、创客空间等各类众创空间，培育和孵化具有前沿技术和全新商业模式的创客企业，构建一批省级以上高品质的众创平台。支持企业建立人才集聚培养平台，引进产业紧缺急需的创新创业领军人才、专业技术人才和经营管理人才，为产业发展提供强有力的人才支撑。</w:t>
      </w:r>
    </w:p>
    <w:p w14:paraId="70955ABB">
      <w:pPr>
        <w:pStyle w:val="5"/>
        <w:spacing w:before="200" w:after="160"/>
        <w:jc w:val="center"/>
        <w:rPr>
          <w:rFonts w:ascii="方正楷体_GBK" w:hAnsi="方正楷体_GBK" w:eastAsia="方正楷体_GBK"/>
          <w:b w:val="0"/>
          <w:bCs w:val="0"/>
        </w:rPr>
      </w:pPr>
      <w:bookmarkStart w:id="67" w:name="_Toc60466222"/>
      <w:r>
        <w:rPr>
          <w:rFonts w:hint="eastAsia" w:ascii="方正楷体_GBK" w:hAnsi="方正楷体_GBK" w:eastAsia="方正楷体_GBK" w:cs="方正楷体_GBK"/>
          <w:b w:val="0"/>
          <w:bCs w:val="0"/>
        </w:rPr>
        <w:t>第二节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集聚全球创新智力资源</w:t>
      </w:r>
      <w:bookmarkEnd w:id="67"/>
    </w:p>
    <w:p w14:paraId="7831C4B5">
      <w:pPr>
        <w:spacing w:line="590" w:lineRule="exact"/>
        <w:ind w:firstLine="629"/>
        <w:rPr>
          <w:rFonts w:eastAsia="方正仿宋_GBK"/>
          <w:sz w:val="32"/>
          <w:szCs w:val="32"/>
        </w:rPr>
      </w:pPr>
      <w:r>
        <w:rPr>
          <w:rFonts w:hint="eastAsia" w:eastAsia="方正仿宋_GBK" w:cs="方正仿宋_GBK"/>
          <w:sz w:val="32"/>
          <w:szCs w:val="32"/>
        </w:rPr>
        <w:t>对接“海智湾”创新平台，巩固拓展“生根出访”活动，加快海外协同创新中心实体化运行，依托海外人才联络站、欧美同学会、高校校友会等第三方合作机构，畅通高新区中日芬国际创新园、秦淮硅巷国际创新园、南部新城中芬合作交流中心等外向型载体对外交流渠道，构建更高效的求贤觅才信息网络和工作体系。建设“全球人才云”大数据平台，动态掌握全球认知物联网、人工智能、车联网、航空航天等领域人才的地域分布和流动趋势，进一步打通人才供给对接通道，引进一批国际一流的战略科技人才、科技领军人才和高水平创新团队。深入推进“百校对接”，持续开展市、区两级科技人才专员派驻，着力发展校友经济、菁英经济、海归经济。融入长三角区域创新共同体，加强创新型、应用型、技能型人才培养，壮大高水平工程师、高技能人才和青年技能人才队伍。支持鼓励本土规模企业通过技术入股、项目攻关等渠道，与国内外高端人才开展嫁接式合作，探索柔性引才模式，增强企业自身“造血”创新能力。</w:t>
      </w:r>
    </w:p>
    <w:p w14:paraId="0E2257A0">
      <w:pPr>
        <w:pStyle w:val="5"/>
        <w:spacing w:before="200" w:after="160"/>
        <w:jc w:val="center"/>
        <w:rPr>
          <w:rFonts w:ascii="方正楷体_GBK" w:hAnsi="方正楷体_GBK" w:eastAsia="方正楷体_GBK"/>
          <w:b w:val="0"/>
          <w:bCs w:val="0"/>
        </w:rPr>
      </w:pPr>
      <w:bookmarkStart w:id="68" w:name="_Toc60466223"/>
      <w:bookmarkStart w:id="69" w:name="_Toc60466224"/>
      <w:r>
        <w:rPr>
          <w:rFonts w:hint="eastAsia" w:ascii="方正楷体_GBK" w:hAnsi="方正楷体_GBK" w:eastAsia="方正楷体_GBK" w:cs="方正楷体_GBK"/>
          <w:b w:val="0"/>
          <w:bCs w:val="0"/>
        </w:rPr>
        <w:t>第三节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提供全域高标人才服务</w:t>
      </w:r>
      <w:bookmarkEnd w:id="68"/>
    </w:p>
    <w:p w14:paraId="4A88368B">
      <w:pPr>
        <w:spacing w:line="590" w:lineRule="exact"/>
        <w:ind w:firstLine="629"/>
        <w:rPr>
          <w:rFonts w:eastAsia="方正仿宋_GBK"/>
          <w:sz w:val="32"/>
          <w:szCs w:val="32"/>
        </w:rPr>
      </w:pPr>
      <w:r>
        <w:rPr>
          <w:rFonts w:hint="eastAsia" w:eastAsia="方正仿宋_GBK" w:cs="方正仿宋_GBK"/>
          <w:sz w:val="32"/>
          <w:szCs w:val="32"/>
        </w:rPr>
        <w:t>实现人才政策精准配套和延续，以精细化服务充分满足人才的高层次需求，营造良性循环的人才生态，促进人才发展“有高原更有高峰”。健全党管人才工作机制，推动党委联系服务专家工作制度化、科学化、常态化，完善各领域专家人才库，建立多层级的挂包联系服务体系。建立完善人才服务网格，强化精准服务程度。引进社会化人才服务资源，加强与创业服务机构互动合作，为人才企业提供专业化、精准性的创业服务。建立银企政对接合作长效机制，指导人才企业用好用足“人才贷”等扶持政策。建立对天使投资、创投机构的投资奖励和风险补偿机制，吸引各类社会资本加入，形成市场化运作的科技创新基金。制定标准化的人才效益评估和常态化的跟踪服务机制，对区域贡献突出的核心人才团队提供安居、医疗、子女教育等服务保障绿色通道。到</w:t>
      </w:r>
      <w:r>
        <w:rPr>
          <w:rFonts w:eastAsia="方正仿宋_GBK"/>
          <w:sz w:val="32"/>
          <w:szCs w:val="32"/>
        </w:rPr>
        <w:t>2025</w:t>
      </w:r>
      <w:r>
        <w:rPr>
          <w:rFonts w:hint="eastAsia" w:eastAsia="方正仿宋_GBK" w:cs="方正仿宋_GBK"/>
          <w:sz w:val="32"/>
          <w:szCs w:val="32"/>
        </w:rPr>
        <w:t>年，全区累计集聚紫金山英才高峰计划人才</w:t>
      </w:r>
      <w:r>
        <w:rPr>
          <w:rFonts w:eastAsia="方正仿宋_GBK"/>
          <w:sz w:val="32"/>
          <w:szCs w:val="32"/>
        </w:rPr>
        <w:t>7</w:t>
      </w:r>
      <w:r>
        <w:rPr>
          <w:rFonts w:hint="eastAsia" w:eastAsia="方正仿宋_GBK" w:cs="方正仿宋_GBK"/>
          <w:sz w:val="32"/>
          <w:szCs w:val="32"/>
        </w:rPr>
        <w:t>人，先锋计划创新型企业家</w:t>
      </w:r>
      <w:r>
        <w:rPr>
          <w:rFonts w:eastAsia="方正仿宋_GBK"/>
          <w:sz w:val="32"/>
          <w:szCs w:val="32"/>
        </w:rPr>
        <w:t>75</w:t>
      </w:r>
      <w:r>
        <w:rPr>
          <w:rFonts w:hint="eastAsia" w:eastAsia="方正仿宋_GBK" w:cs="方正仿宋_GBK"/>
          <w:sz w:val="32"/>
          <w:szCs w:val="32"/>
        </w:rPr>
        <w:t>人，先锋计划高层次创新创业人才</w:t>
      </w:r>
      <w:r>
        <w:rPr>
          <w:rFonts w:eastAsia="方正仿宋_GBK"/>
          <w:sz w:val="32"/>
          <w:szCs w:val="32"/>
        </w:rPr>
        <w:t>250</w:t>
      </w:r>
      <w:r>
        <w:rPr>
          <w:rFonts w:hint="eastAsia" w:eastAsia="方正仿宋_GBK" w:cs="方正仿宋_GBK"/>
          <w:sz w:val="32"/>
          <w:szCs w:val="32"/>
        </w:rPr>
        <w:t>人。</w:t>
      </w:r>
    </w:p>
    <w:p w14:paraId="78C45671">
      <w:pPr>
        <w:pStyle w:val="4"/>
        <w:keepNext w:val="0"/>
        <w:keepLines w:val="0"/>
        <w:spacing w:beforeLines="100" w:afterLines="100" w:line="540" w:lineRule="exact"/>
        <w:jc w:val="center"/>
        <w:rPr>
          <w:rFonts w:ascii="方正黑体_GBK" w:hAnsi="方正黑体_GBK" w:eastAsia="方正黑体_GBK" w:cs="Times New Roman"/>
          <w:b w:val="0"/>
          <w:bCs w:val="0"/>
        </w:rPr>
      </w:pPr>
      <w:r>
        <w:rPr>
          <w:rFonts w:hint="eastAsia" w:ascii="方正黑体_GBK" w:hAnsi="方正黑体_GBK" w:eastAsia="方正黑体_GBK" w:cs="方正黑体_GBK"/>
          <w:b w:val="0"/>
          <w:bCs w:val="0"/>
        </w:rPr>
        <w:t>第七章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涵养高品质创新生态</w:t>
      </w:r>
      <w:bookmarkEnd w:id="69"/>
    </w:p>
    <w:p w14:paraId="63530AF7">
      <w:pPr>
        <w:pStyle w:val="5"/>
        <w:spacing w:before="120" w:after="120"/>
        <w:jc w:val="center"/>
        <w:rPr>
          <w:rFonts w:ascii="方正楷体_GBK" w:hAnsi="方正楷体_GBK" w:eastAsia="方正楷体_GBK"/>
          <w:b w:val="0"/>
          <w:bCs w:val="0"/>
        </w:rPr>
      </w:pPr>
      <w:bookmarkStart w:id="70" w:name="_Toc60466225"/>
      <w:r>
        <w:rPr>
          <w:rFonts w:hint="eastAsia" w:ascii="方正楷体_GBK" w:hAnsi="方正楷体_GBK" w:eastAsia="方正楷体_GBK" w:cs="方正楷体_GBK"/>
          <w:b w:val="0"/>
          <w:bCs w:val="0"/>
        </w:rPr>
        <w:t>第一节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提升创新服务能力</w:t>
      </w:r>
      <w:bookmarkEnd w:id="70"/>
    </w:p>
    <w:p w14:paraId="108B550D">
      <w:pPr>
        <w:spacing w:line="590" w:lineRule="exact"/>
        <w:ind w:firstLine="629"/>
        <w:rPr>
          <w:rFonts w:eastAsia="方正仿宋_GBK"/>
          <w:spacing w:val="-11"/>
          <w:sz w:val="32"/>
          <w:szCs w:val="32"/>
        </w:rPr>
      </w:pPr>
      <w:r>
        <w:rPr>
          <w:rFonts w:hint="eastAsia" w:eastAsia="方正仿宋_GBK" w:cs="方正仿宋_GBK"/>
          <w:sz w:val="32"/>
          <w:szCs w:val="32"/>
        </w:rPr>
        <w:t>发挥好政府“金牌店小二”服务功能，做好产业引导和营商环境保障提升。发挥创新委职能，创新制度顶层设计，强化区域“</w:t>
      </w:r>
      <w:r>
        <w:rPr>
          <w:rFonts w:eastAsia="方正仿宋_GBK"/>
          <w:sz w:val="32"/>
          <w:szCs w:val="32"/>
        </w:rPr>
        <w:t>1+X</w:t>
      </w:r>
      <w:r>
        <w:rPr>
          <w:rFonts w:hint="eastAsia" w:eastAsia="方正仿宋_GBK" w:cs="方正仿宋_GBK"/>
          <w:sz w:val="32"/>
          <w:szCs w:val="32"/>
        </w:rPr>
        <w:t>”公共服务平台功能，围绕科技金融、技术转移、科技咨询、知识产权等领域，强化组织推进，实现多方协同，为全区科技创新企业提供发展全周期服务。打造“创新港湾”生态，聚焦成果转化，探索创新保险机制，实现创新风险共担。构建“楼上楼下创新创业综合体”，缩短从技术到产品的转化研究周期，立足高校、科研院所等主体的原始创新优势，构筑创新生态港湾，</w:t>
      </w:r>
      <w:r>
        <w:rPr>
          <w:rFonts w:hint="eastAsia" w:eastAsia="方正仿宋_GBK" w:cs="方正仿宋_GBK"/>
          <w:spacing w:val="-11"/>
          <w:sz w:val="32"/>
          <w:szCs w:val="32"/>
        </w:rPr>
        <w:t>承载要素溢出价值，辐射带动秦淮全域发展，提升科创主体服务质效。</w:t>
      </w:r>
    </w:p>
    <w:p w14:paraId="6451E977">
      <w:pPr>
        <w:pStyle w:val="5"/>
        <w:spacing w:before="120" w:after="120"/>
        <w:jc w:val="center"/>
        <w:rPr>
          <w:rFonts w:ascii="方正楷体_GBK" w:hAnsi="方正楷体_GBK" w:eastAsia="方正楷体_GBK"/>
          <w:b w:val="0"/>
          <w:bCs w:val="0"/>
        </w:rPr>
      </w:pPr>
      <w:bookmarkStart w:id="71" w:name="_Toc60466226"/>
      <w:r>
        <w:rPr>
          <w:rFonts w:hint="eastAsia" w:ascii="方正楷体_GBK" w:hAnsi="方正楷体_GBK" w:eastAsia="方正楷体_GBK" w:cs="方正楷体_GBK"/>
          <w:b w:val="0"/>
          <w:bCs w:val="0"/>
        </w:rPr>
        <w:t>第二节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强化知识产权保护</w:t>
      </w:r>
      <w:bookmarkEnd w:id="71"/>
    </w:p>
    <w:p w14:paraId="36FD0F9C">
      <w:pPr>
        <w:spacing w:line="590" w:lineRule="exact"/>
        <w:ind w:firstLine="629"/>
        <w:rPr>
          <w:rFonts w:eastAsia="方正仿宋_GBK"/>
          <w:sz w:val="32"/>
          <w:szCs w:val="32"/>
        </w:rPr>
      </w:pPr>
      <w:r>
        <w:rPr>
          <w:rFonts w:hint="eastAsia" w:eastAsia="方正仿宋_GBK" w:cs="方正仿宋_GBK"/>
          <w:sz w:val="32"/>
          <w:szCs w:val="32"/>
        </w:rPr>
        <w:t>健全知识产权保护，提升知识产权创造、运用、保护、管理和服务能力，营造公平公正、开放透明的知识产权法治和市场环境。强化知识产权创造激励，资助和奖励政策向高质量、高价值专利倾斜，鼓励激发高价值知识产权创造。完善知识产权服务，联动白下高新区、产业科技园、高校院所等知识产权保障主体，建设知识产权服务业、专利导航产业和战略性新兴产业知识产权集群管理试点。支持高新园先行先试，推动白下高新园区开展江苏省知识产权示范园区建设。鼓励社会资本进入知识产权交易和产业领域，建立市场化创新方向选择机制和鼓励创新的风险分担、利益共享机制，依托现有知识产权交易服务平台，打通技术转移、产品中试和推广应用环节。创新知识产权管理，建设职责清晰、管理统一、运行高效的知识产权管理服务机构，形成重大问题专家咨询、部门会商、集体决策机制，提升管理效能，打造知识产权保护全链条体系，切实发挥知识产权保护对经济社会发展的助推作用。</w:t>
      </w:r>
    </w:p>
    <w:p w14:paraId="5C5B770E">
      <w:pPr>
        <w:pStyle w:val="5"/>
        <w:spacing w:before="120" w:after="120"/>
        <w:jc w:val="center"/>
        <w:rPr>
          <w:rFonts w:ascii="方正楷体_GBK" w:hAnsi="方正楷体_GBK" w:eastAsia="方正楷体_GBK"/>
          <w:b w:val="0"/>
          <w:bCs w:val="0"/>
        </w:rPr>
      </w:pPr>
      <w:bookmarkStart w:id="72" w:name="_Toc60466227"/>
      <w:r>
        <w:rPr>
          <w:rFonts w:hint="eastAsia" w:ascii="方正楷体_GBK" w:hAnsi="方正楷体_GBK" w:eastAsia="方正楷体_GBK" w:cs="方正楷体_GBK"/>
          <w:b w:val="0"/>
          <w:bCs w:val="0"/>
        </w:rPr>
        <w:t>第三节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增强科创金融支撑</w:t>
      </w:r>
      <w:bookmarkEnd w:id="72"/>
    </w:p>
    <w:p w14:paraId="0E3CDD4C">
      <w:pPr>
        <w:spacing w:line="550" w:lineRule="exact"/>
        <w:ind w:firstLine="629"/>
        <w:rPr>
          <w:rFonts w:eastAsia="方正仿宋_GBK"/>
          <w:sz w:val="32"/>
          <w:szCs w:val="32"/>
        </w:rPr>
      </w:pPr>
      <w:r>
        <w:rPr>
          <w:rFonts w:hint="eastAsia" w:eastAsia="方正仿宋_GBK" w:cs="方正仿宋_GBK"/>
          <w:sz w:val="32"/>
          <w:szCs w:val="32"/>
        </w:rPr>
        <w:t>提高科技金融供给精准度，加大股权投资资金有效支持，提升科技金融服务对科技创新的支撑力度。推广应用创新券，将委托开发、科技评估、检验检测、知识产权服务、高新技术企业认定服务等纳入创新券使用范围，覆盖企业科技创新活动全过程。依托南京市中小企业服务中心、秦淮区创新生态平台等服务媒介，建立创新券运行系统，为创新创业提供低成本、便利化、全要素的开放式综合服务。整合各级各类财政专项，设立科技专项基金，吸纳国有资本和社会资本，采用母子基金运作方式，通过市区联动、政企联动，形成产业基金体系。出台投资基金管理办法，重点支持战略性新兴产业及科技创新平台载体快速发展。探索运用投贷联动模式，鼓励银行在风险投资机构评估和股权投资的基础上，对科技型企业提供融资支持。重点引进培育新型科技类金融机构，建设集创投、贷款、担保、保险、基金募集等主体和业务于一体的科技金融体系，开展创客发展专项融资试点。</w:t>
      </w:r>
    </w:p>
    <w:p w14:paraId="74D6DF32">
      <w:pPr>
        <w:pStyle w:val="5"/>
        <w:spacing w:before="120" w:after="120"/>
        <w:jc w:val="center"/>
        <w:rPr>
          <w:rFonts w:ascii="方正楷体_GBK" w:hAnsi="方正楷体_GBK" w:eastAsia="方正楷体_GBK"/>
          <w:b w:val="0"/>
          <w:bCs w:val="0"/>
        </w:rPr>
      </w:pPr>
      <w:bookmarkStart w:id="73" w:name="_Toc60466228"/>
      <w:r>
        <w:rPr>
          <w:rFonts w:hint="eastAsia" w:ascii="方正楷体_GBK" w:hAnsi="方正楷体_GBK" w:eastAsia="方正楷体_GBK" w:cs="方正楷体_GBK"/>
          <w:b w:val="0"/>
          <w:bCs w:val="0"/>
        </w:rPr>
        <w:t>第四节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促进成果转化应用</w:t>
      </w:r>
      <w:bookmarkEnd w:id="73"/>
    </w:p>
    <w:p w14:paraId="6710F5E3">
      <w:pPr>
        <w:spacing w:line="550" w:lineRule="exact"/>
        <w:ind w:firstLine="629"/>
        <w:rPr>
          <w:rFonts w:eastAsia="方正仿宋_GBK"/>
          <w:sz w:val="32"/>
          <w:szCs w:val="32"/>
        </w:rPr>
      </w:pPr>
      <w:r>
        <w:rPr>
          <w:rFonts w:hint="eastAsia" w:eastAsia="方正仿宋_GBK" w:cs="方正仿宋_GBK"/>
          <w:sz w:val="32"/>
          <w:szCs w:val="32"/>
        </w:rPr>
        <w:t>鼓励和支持区内龙头企业与高校院所，围绕科技成果转化的中后端环节，组建以人才团队持大股、市场化运作、职业经理人管理为特征的新型研发机构，发动企业实施“金桥工程”、“海智计划”，聚力打通成果转化“最后一公里”。探索建立全区科技成果超市，采用线上线下同步运作模式，在文旅商融合、车联网、老城有机更新、新城开发建设等领域开发应用场景，提供示范运用。完善创新产品“首购首用”风险补偿和新产品使用行政免责等机制，实现创新产品目录动态发布，定期召开产品应用推介会，帮助企业解决“第一单”问题。落实支持采购创新产品和服务的政策，加强对创新产品研制企业和用户方的双向支持，通过实施新技术、新产品示范应用工程，促进产业、技术与应用协同发展。</w:t>
      </w:r>
    </w:p>
    <w:p w14:paraId="0E66D050">
      <w:pPr>
        <w:pStyle w:val="2"/>
        <w:rPr>
          <w:rFonts w:eastAsia="方正仿宋_GBK"/>
          <w:sz w:val="32"/>
          <w:szCs w:val="32"/>
        </w:rPr>
      </w:pPr>
    </w:p>
    <w:p w14:paraId="6BBE639E">
      <w:pPr>
        <w:pStyle w:val="2"/>
        <w:rPr>
          <w:rFonts w:eastAsia="方正仿宋_GBK"/>
          <w:sz w:val="32"/>
          <w:szCs w:val="32"/>
        </w:rPr>
      </w:pPr>
    </w:p>
    <w:p w14:paraId="525DAC2E">
      <w:pPr>
        <w:pStyle w:val="3"/>
        <w:keepNext w:val="0"/>
        <w:keepLines w:val="0"/>
        <w:spacing w:before="0" w:after="0" w:line="700" w:lineRule="exact"/>
        <w:jc w:val="center"/>
        <w:rPr>
          <w:rFonts w:ascii="方正小标宋_GBK" w:eastAsia="方正小标宋_GBK"/>
          <w:b w:val="0"/>
          <w:bCs w:val="0"/>
        </w:rPr>
      </w:pPr>
      <w:bookmarkStart w:id="74" w:name="_Toc60466229"/>
      <w:r>
        <w:rPr>
          <w:rFonts w:hint="eastAsia" w:ascii="方正小标宋_GBK" w:eastAsia="方正小标宋_GBK" w:cs="方正小标宋_GBK"/>
          <w:b w:val="0"/>
          <w:bCs w:val="0"/>
        </w:rPr>
        <w:t>第三篇</w:t>
      </w:r>
      <w:r>
        <w:rPr>
          <w:rFonts w:ascii="方正小标宋_GBK" w:eastAsia="方正小标宋_GBK" w:cs="方正小标宋_GBK"/>
          <w:b w:val="0"/>
          <w:bCs w:val="0"/>
        </w:rPr>
        <w:t xml:space="preserve"> </w:t>
      </w:r>
      <w:r>
        <w:rPr>
          <w:rFonts w:hint="eastAsia" w:ascii="方正小标宋_GBK" w:eastAsia="方正小标宋_GBK" w:cs="方正小标宋_GBK"/>
          <w:b w:val="0"/>
          <w:bCs w:val="0"/>
        </w:rPr>
        <w:t>南部新城发展起飞，主导产业质效双增，增强秦淮经济活力新动能</w:t>
      </w:r>
      <w:bookmarkEnd w:id="74"/>
    </w:p>
    <w:p w14:paraId="39E8AA11">
      <w:pPr>
        <w:spacing w:line="520" w:lineRule="exact"/>
        <w:ind w:firstLine="601"/>
        <w:rPr>
          <w:rFonts w:eastAsia="方正仿宋_GBK"/>
          <w:sz w:val="32"/>
          <w:szCs w:val="32"/>
        </w:rPr>
      </w:pPr>
    </w:p>
    <w:p w14:paraId="3C955080">
      <w:pPr>
        <w:spacing w:line="590" w:lineRule="exact"/>
        <w:ind w:firstLine="629"/>
        <w:rPr>
          <w:rFonts w:eastAsia="方正仿宋_GBK"/>
          <w:sz w:val="32"/>
          <w:szCs w:val="32"/>
        </w:rPr>
      </w:pPr>
      <w:r>
        <w:rPr>
          <w:rFonts w:hint="eastAsia" w:eastAsia="方正仿宋_GBK" w:cs="方正仿宋_GBK"/>
          <w:sz w:val="32"/>
          <w:szCs w:val="32"/>
        </w:rPr>
        <w:t>构建南部新城“</w:t>
      </w:r>
      <w:r>
        <w:rPr>
          <w:rFonts w:eastAsia="方正仿宋_GBK"/>
          <w:sz w:val="32"/>
          <w:szCs w:val="32"/>
        </w:rPr>
        <w:t>1+2</w:t>
      </w:r>
      <w:r>
        <w:rPr>
          <w:rFonts w:hint="eastAsia" w:eastAsia="方正仿宋_GBK" w:cs="方正仿宋_GBK"/>
          <w:sz w:val="32"/>
          <w:szCs w:val="32"/>
        </w:rPr>
        <w:t>”主导产业体系，优化行政区“</w:t>
      </w:r>
      <w:r>
        <w:rPr>
          <w:rFonts w:eastAsia="方正仿宋_GBK"/>
          <w:sz w:val="32"/>
          <w:szCs w:val="32"/>
        </w:rPr>
        <w:t>4+4</w:t>
      </w:r>
      <w:r>
        <w:rPr>
          <w:rFonts w:hint="eastAsia" w:eastAsia="方正仿宋_GBK" w:cs="方正仿宋_GBK"/>
          <w:sz w:val="32"/>
          <w:szCs w:val="32"/>
        </w:rPr>
        <w:t>”主导产业结构，实施产业项目攻坚提质、主导产业加速集聚、综合消费提振升级和企业服务优化提升“四项行动”，促进传统产业高端化转型和结构化升级，布局并激发新兴产业发展潜能，提升都市工业数字化、信息化水平，构建产值结构更均衡、财力贡献更协调的现代产业体系。</w:t>
      </w:r>
    </w:p>
    <w:p w14:paraId="790BE27C">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75" w:name="_Toc60466230"/>
      <w:bookmarkStart w:id="76" w:name="_Toc439776017"/>
      <w:r>
        <w:rPr>
          <w:rFonts w:hint="eastAsia" w:ascii="方正黑体_GBK" w:hAnsi="方正黑体_GBK" w:eastAsia="方正黑体_GBK" w:cs="方正黑体_GBK"/>
          <w:b w:val="0"/>
          <w:bCs w:val="0"/>
        </w:rPr>
        <w:t>第八章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释放南部新城主导产业动能</w:t>
      </w:r>
      <w:bookmarkEnd w:id="75"/>
    </w:p>
    <w:p w14:paraId="3D95A816">
      <w:pPr>
        <w:pStyle w:val="5"/>
        <w:spacing w:after="200" w:line="520" w:lineRule="exact"/>
        <w:jc w:val="center"/>
        <w:rPr>
          <w:rFonts w:ascii="方正楷体_GBK" w:hAnsi="方正楷体_GBK" w:eastAsia="方正楷体_GBK"/>
          <w:b w:val="0"/>
          <w:bCs w:val="0"/>
        </w:rPr>
      </w:pPr>
      <w:bookmarkStart w:id="77" w:name="_Toc60466231"/>
      <w:r>
        <w:rPr>
          <w:rFonts w:hint="eastAsia" w:ascii="方正楷体_GBK" w:hAnsi="方正楷体_GBK" w:eastAsia="方正楷体_GBK" w:cs="方正楷体_GBK"/>
          <w:b w:val="0"/>
          <w:bCs w:val="0"/>
        </w:rPr>
        <w:t>第一节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构建都市圈超级总部集聚区</w:t>
      </w:r>
      <w:bookmarkEnd w:id="77"/>
    </w:p>
    <w:p w14:paraId="1853752E">
      <w:pPr>
        <w:spacing w:line="590" w:lineRule="exact"/>
        <w:ind w:firstLine="629"/>
        <w:rPr>
          <w:rFonts w:eastAsia="方正仿宋_GBK"/>
          <w:sz w:val="32"/>
          <w:szCs w:val="32"/>
        </w:rPr>
      </w:pPr>
      <w:r>
        <w:rPr>
          <w:rFonts w:hint="eastAsia" w:eastAsia="方正仿宋_GBK" w:cs="方正仿宋_GBK"/>
          <w:sz w:val="32"/>
          <w:szCs w:val="32"/>
        </w:rPr>
        <w:t>发展商务总部经济，建设枢纽经济特色超级总部基地。依托城市轨道交通、高速公路、高铁等交通集聚和便利的优势，打造时间半径为“</w:t>
      </w:r>
      <w:r>
        <w:rPr>
          <w:rFonts w:eastAsia="方正仿宋_GBK"/>
          <w:sz w:val="32"/>
          <w:szCs w:val="32"/>
        </w:rPr>
        <w:t>1</w:t>
      </w:r>
      <w:r>
        <w:rPr>
          <w:rFonts w:hint="eastAsia" w:eastAsia="方正仿宋_GBK" w:cs="方正仿宋_GBK"/>
          <w:sz w:val="32"/>
          <w:szCs w:val="32"/>
        </w:rPr>
        <w:t>小时”的枢纽经济商务圈。积极吸引世界</w:t>
      </w:r>
      <w:r>
        <w:rPr>
          <w:rFonts w:eastAsia="方正仿宋_GBK"/>
          <w:sz w:val="32"/>
          <w:szCs w:val="32"/>
        </w:rPr>
        <w:t>500</w:t>
      </w:r>
      <w:r>
        <w:rPr>
          <w:rFonts w:hint="eastAsia" w:eastAsia="方正仿宋_GBK" w:cs="方正仿宋_GBK"/>
          <w:sz w:val="32"/>
          <w:szCs w:val="32"/>
        </w:rPr>
        <w:t>强和中国百强、大型跨国公司、行业领军、独角兽企业、瞪羚企业、拟上市企业的综合型、区域型总部，全力打造南京第一、江苏领先、国内一流的超级总部基地。打造功能型总部、数字经济总部集聚新高地，统筹推进大数据、物联网、人工智能、区块链等新技术产业的发展，加快</w:t>
      </w:r>
      <w:r>
        <w:rPr>
          <w:rFonts w:eastAsia="方正仿宋_GBK"/>
          <w:sz w:val="32"/>
          <w:szCs w:val="32"/>
        </w:rPr>
        <w:t>5G</w:t>
      </w:r>
      <w:r>
        <w:rPr>
          <w:rFonts w:hint="eastAsia" w:eastAsia="方正仿宋_GBK" w:cs="方正仿宋_GBK"/>
          <w:sz w:val="32"/>
          <w:szCs w:val="32"/>
        </w:rPr>
        <w:t>技术应用。加快总部载体建设，打造亿元总部楼宇。实施差别化土地供应路径和多样化产业导入策略，为优质企业预留高价值载体，打造最优质的营商环境。建立总部企业储备库和重点招商目标库，搭建总部企业跨界交流平台，通过成立产业联盟、企业业主委员会、设立产业引导基金等形式，为企业搭建跨界交流平台，形成“共创、共赢、共享”的产业生态。深化低碳理念，加快南部新城中芬低碳生态创新园区建设，以点带面，打造南部新城零碳未来城。</w:t>
      </w:r>
    </w:p>
    <w:p w14:paraId="6C1E7D0A">
      <w:pPr>
        <w:pStyle w:val="5"/>
        <w:spacing w:after="200" w:line="520" w:lineRule="exact"/>
        <w:jc w:val="center"/>
        <w:rPr>
          <w:rFonts w:ascii="方正楷体_GBK" w:hAnsi="方正楷体_GBK" w:eastAsia="方正楷体_GBK"/>
          <w:b w:val="0"/>
          <w:bCs w:val="0"/>
        </w:rPr>
      </w:pPr>
      <w:bookmarkStart w:id="78" w:name="_Toc56079774"/>
      <w:bookmarkStart w:id="79" w:name="_Toc56615492"/>
      <w:bookmarkStart w:id="80" w:name="_Toc60466232"/>
      <w:bookmarkStart w:id="81" w:name="_Toc59809304"/>
      <w:r>
        <w:rPr>
          <w:rFonts w:hint="eastAsia" w:ascii="方正楷体_GBK" w:hAnsi="方正楷体_GBK" w:eastAsia="方正楷体_GBK" w:cs="方正楷体_GBK"/>
          <w:b w:val="0"/>
          <w:bCs w:val="0"/>
        </w:rPr>
        <w:t>第二节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打造现代时尚文化</w:t>
      </w:r>
      <w:bookmarkEnd w:id="78"/>
      <w:bookmarkEnd w:id="79"/>
      <w:r>
        <w:rPr>
          <w:rFonts w:hint="eastAsia" w:ascii="方正楷体_GBK" w:hAnsi="方正楷体_GBK" w:eastAsia="方正楷体_GBK" w:cs="方正楷体_GBK"/>
          <w:b w:val="0"/>
          <w:bCs w:val="0"/>
        </w:rPr>
        <w:t>矽谷</w:t>
      </w:r>
      <w:bookmarkEnd w:id="80"/>
      <w:bookmarkEnd w:id="81"/>
    </w:p>
    <w:p w14:paraId="085B379F">
      <w:pPr>
        <w:spacing w:line="590" w:lineRule="exact"/>
        <w:ind w:firstLine="629"/>
        <w:rPr>
          <w:rFonts w:eastAsia="方正仿宋_GBK"/>
          <w:sz w:val="32"/>
          <w:szCs w:val="32"/>
        </w:rPr>
      </w:pPr>
      <w:r>
        <w:rPr>
          <w:rFonts w:hint="eastAsia" w:eastAsia="方正仿宋_GBK" w:cs="方正仿宋_GBK"/>
          <w:sz w:val="32"/>
          <w:szCs w:val="32"/>
        </w:rPr>
        <w:t>发展高端文化创意产业，融入南京“世界文学之都”</w:t>
      </w:r>
      <w:r>
        <w:rPr>
          <w:rFonts w:eastAsia="方正仿宋_GBK"/>
          <w:sz w:val="32"/>
          <w:szCs w:val="32"/>
        </w:rPr>
        <w:t xml:space="preserve"> </w:t>
      </w:r>
      <w:r>
        <w:rPr>
          <w:rFonts w:hint="eastAsia" w:eastAsia="方正仿宋_GBK" w:cs="方正仿宋_GBK"/>
          <w:sz w:val="32"/>
          <w:szCs w:val="32"/>
        </w:rPr>
        <w:t>建设，打造国际时尚文化地标。依托中国第二历史档案馆、南京博物院故宫馆新馆、中芬合作交流中心和全球规模最大、保护最完整、最具活力的机场跑道公园等重量级、国际化文化设施，实现文化事业和文化产业高质量发展。推进文化创意产业与相关产业深度融合，打造文化矽谷。坚持文创产业化、产业文创化“两化”并进，坚持“文化创意”与“科技创新”两轮驱动，建设数字化、网络化、智能化文化消费平台，推出云音乐会、云展览、云观影、云录制等文化生产与消费的新场景、新模式、新业态，引领文化产业实现发展突破，沉浸式、互动式、个性定制化的文化产品和服务不断丰富居民文化消费选择，促进线上文化产业快速发展，将南部新城打造南京乃至全国的文化矽谷。</w:t>
      </w:r>
    </w:p>
    <w:p w14:paraId="66EBE318">
      <w:pPr>
        <w:pStyle w:val="5"/>
        <w:spacing w:after="200" w:line="520" w:lineRule="exact"/>
        <w:jc w:val="center"/>
        <w:rPr>
          <w:rFonts w:ascii="方正楷体_GBK" w:hAnsi="方正楷体_GBK" w:eastAsia="方正楷体_GBK"/>
          <w:b w:val="0"/>
          <w:bCs w:val="0"/>
        </w:rPr>
      </w:pPr>
      <w:bookmarkStart w:id="82" w:name="_Toc56079775"/>
      <w:bookmarkStart w:id="83" w:name="_Toc56615493"/>
      <w:bookmarkStart w:id="84" w:name="_Toc59809305"/>
      <w:bookmarkStart w:id="85" w:name="_Toc60466233"/>
      <w:r>
        <w:rPr>
          <w:rFonts w:hint="eastAsia" w:ascii="方正楷体_GBK" w:hAnsi="方正楷体_GBK" w:eastAsia="方正楷体_GBK" w:cs="方正楷体_GBK"/>
          <w:b w:val="0"/>
          <w:bCs w:val="0"/>
        </w:rPr>
        <w:t>第三节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打造健康休闲产业集群</w:t>
      </w:r>
      <w:bookmarkEnd w:id="82"/>
      <w:bookmarkEnd w:id="83"/>
      <w:bookmarkEnd w:id="84"/>
      <w:bookmarkEnd w:id="85"/>
    </w:p>
    <w:p w14:paraId="2DA063C3">
      <w:pPr>
        <w:spacing w:line="590" w:lineRule="exact"/>
        <w:ind w:firstLine="629"/>
        <w:rPr>
          <w:rFonts w:eastAsia="方正仿宋_GBK"/>
          <w:sz w:val="32"/>
          <w:szCs w:val="32"/>
        </w:rPr>
      </w:pPr>
      <w:r>
        <w:rPr>
          <w:rFonts w:hint="eastAsia" w:eastAsia="方正仿宋_GBK" w:cs="方正仿宋_GBK"/>
          <w:sz w:val="32"/>
          <w:szCs w:val="32"/>
        </w:rPr>
        <w:t>发展健康休闲产业，打造高精尖健康休闲总部集聚区，充分发挥医疗健康产业的协同效应，落户一批国际国内顶尖水平的健康休闲企业，深度打造高、精、尖健康休闲总部集聚区。打造智慧健康医疗产业新高地。发展智慧医疗，鼓励国际医疗服务外包、医疗旅游、康复疗养等高端医疗健康服务业发展。引进国际知名医疗健康服务资源，鼓励物联网、云计算、移动互联网、智能终端、健康信息等技术在医疗健康领域应用，实现健康产业总部经济集群式发展。推动健康体育发展。加速建设全民健身中心，结合机场跑道、河头公园，引进高水平并具有持续性的国际赛事，形成行业配套、产业联动、运行高效的健康产业运营体系。</w:t>
      </w:r>
    </w:p>
    <w:p w14:paraId="410DA2AB">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86" w:name="_Toc60466234"/>
      <w:r>
        <w:rPr>
          <w:rFonts w:hint="eastAsia" w:ascii="方正黑体_GBK" w:hAnsi="方正黑体_GBK" w:eastAsia="方正黑体_GBK" w:cs="方正黑体_GBK"/>
          <w:b w:val="0"/>
          <w:bCs w:val="0"/>
        </w:rPr>
        <w:t>第九章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促进传统产业优化升级</w:t>
      </w:r>
      <w:bookmarkEnd w:id="86"/>
    </w:p>
    <w:p w14:paraId="6EF6C3CB">
      <w:pPr>
        <w:pStyle w:val="5"/>
        <w:spacing w:after="200" w:line="520" w:lineRule="exact"/>
        <w:jc w:val="center"/>
        <w:rPr>
          <w:rFonts w:ascii="方正楷体_GBK" w:hAnsi="方正楷体_GBK" w:eastAsia="方正楷体_GBK"/>
          <w:b w:val="0"/>
          <w:bCs w:val="0"/>
        </w:rPr>
      </w:pPr>
      <w:bookmarkStart w:id="87" w:name="_Toc60466235"/>
      <w:r>
        <w:rPr>
          <w:rFonts w:hint="eastAsia" w:ascii="方正楷体_GBK" w:hAnsi="方正楷体_GBK" w:eastAsia="方正楷体_GBK" w:cs="方正楷体_GBK"/>
          <w:b w:val="0"/>
          <w:bCs w:val="0"/>
        </w:rPr>
        <w:t>第一节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促进商贸商务转型</w:t>
      </w:r>
      <w:bookmarkEnd w:id="87"/>
    </w:p>
    <w:p w14:paraId="2321821F">
      <w:pPr>
        <w:spacing w:line="590" w:lineRule="exact"/>
        <w:ind w:firstLine="629"/>
        <w:rPr>
          <w:rFonts w:eastAsia="方正仿宋_GBK"/>
          <w:sz w:val="32"/>
          <w:szCs w:val="32"/>
        </w:rPr>
      </w:pPr>
      <w:r>
        <w:rPr>
          <w:rFonts w:hint="eastAsia" w:eastAsia="方正仿宋_GBK" w:cs="方正仿宋_GBK"/>
          <w:sz w:val="32"/>
          <w:szCs w:val="32"/>
        </w:rPr>
        <w:t>推动商贸业由传统向现代转型，加快高端化、时尚化、体验化发展，鼓励数字化、智能化升级。重点发展体验消费、品牌经济、时尚消费和智慧商业，引进培育一批高端商贸、商务总部。鼓励新街口商圈商贸业态创新突破，加速布局沉浸式、乐园式商贸体验综合体，引进潮牌首店和高端品牌，引进培育高端商务总部；推进夫子庙、老门东片区引进业内领先的文旅商体验企业和项目，建设文化内涵丰厚、展示层次丰富的文旅商体验消费特色空间；突出南部新城国际化商业业态、元素的注入呈现，结合未来社区打造，布局智慧商业和高端商务总部。社会消费品零售总额增速达</w:t>
      </w:r>
      <w:r>
        <w:rPr>
          <w:rFonts w:eastAsia="方正仿宋_GBK"/>
          <w:sz w:val="32"/>
          <w:szCs w:val="32"/>
        </w:rPr>
        <w:t>8%</w:t>
      </w:r>
      <w:r>
        <w:rPr>
          <w:rFonts w:hint="eastAsia" w:eastAsia="方正仿宋_GBK" w:cs="方正仿宋_GBK"/>
          <w:sz w:val="32"/>
          <w:szCs w:val="32"/>
        </w:rPr>
        <w:t>。</w:t>
      </w:r>
    </w:p>
    <w:p w14:paraId="3BCDCAAA">
      <w:pPr>
        <w:pStyle w:val="5"/>
        <w:spacing w:after="200" w:line="520" w:lineRule="exact"/>
        <w:jc w:val="center"/>
        <w:rPr>
          <w:rFonts w:ascii="方正楷体_GBK" w:hAnsi="方正楷体_GBK" w:eastAsia="方正楷体_GBK"/>
          <w:b w:val="0"/>
          <w:bCs w:val="0"/>
        </w:rPr>
      </w:pPr>
      <w:bookmarkStart w:id="88" w:name="_Toc60466236"/>
      <w:r>
        <w:rPr>
          <w:rFonts w:hint="eastAsia" w:ascii="方正楷体_GBK" w:hAnsi="方正楷体_GBK" w:eastAsia="方正楷体_GBK" w:cs="方正楷体_GBK"/>
          <w:b w:val="0"/>
          <w:bCs w:val="0"/>
        </w:rPr>
        <w:t>第二节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突出现代金融特色</w:t>
      </w:r>
      <w:bookmarkEnd w:id="88"/>
    </w:p>
    <w:p w14:paraId="37A215A6">
      <w:pPr>
        <w:spacing w:line="590" w:lineRule="exact"/>
        <w:ind w:firstLine="629"/>
        <w:rPr>
          <w:rFonts w:eastAsia="方正仿宋_GBK"/>
          <w:sz w:val="32"/>
          <w:szCs w:val="32"/>
        </w:rPr>
      </w:pPr>
      <w:r>
        <w:rPr>
          <w:rFonts w:hint="eastAsia" w:eastAsia="方正仿宋_GBK" w:cs="方正仿宋_GBK"/>
          <w:sz w:val="32"/>
          <w:szCs w:val="32"/>
        </w:rPr>
        <w:t>坚持传统金融与新兴金融并重，发力消费金融、科技金融、文化金融、普惠金融等金融服务细分领域，构建新街口金融核心区和周延地带、南部新城商务区、高新园区及创新湾区等重点空间分布格局。推动金融服务切入教育、医疗、科技、文化等细分领域，构建更具秦淮特色的金融消费和服务场景。发挥产业引导基金作用，支持区内创新创业类企业发展，引进培育天使投资、</w:t>
      </w:r>
      <w:r>
        <w:rPr>
          <w:rFonts w:eastAsia="方正仿宋_GBK"/>
          <w:sz w:val="32"/>
          <w:szCs w:val="32"/>
        </w:rPr>
        <w:t>VC</w:t>
      </w:r>
      <w:r>
        <w:rPr>
          <w:rFonts w:hint="eastAsia" w:eastAsia="方正仿宋_GBK" w:cs="方正仿宋_GBK"/>
          <w:sz w:val="32"/>
          <w:szCs w:val="32"/>
        </w:rPr>
        <w:t>投资、</w:t>
      </w:r>
      <w:r>
        <w:rPr>
          <w:rFonts w:eastAsia="方正仿宋_GBK"/>
          <w:sz w:val="32"/>
          <w:szCs w:val="32"/>
        </w:rPr>
        <w:t>PE</w:t>
      </w:r>
      <w:r>
        <w:rPr>
          <w:rFonts w:hint="eastAsia" w:eastAsia="方正仿宋_GBK" w:cs="方正仿宋_GBK"/>
          <w:sz w:val="32"/>
          <w:szCs w:val="32"/>
        </w:rPr>
        <w:t>投资、产业投资、并购投资等机构，形成覆盖企业不同成长阶段的基金投资体系，营造良性金融发展生态，加快发展资产配置管理等高质量的资产管理产业，构建机构多元、业态丰富、特色彰显的现代金融格局。依托平安国际金融中心等项目建设，重塑新街口板块现代金融集聚的高品质形象。到</w:t>
      </w:r>
      <w:r>
        <w:rPr>
          <w:rFonts w:eastAsia="方正仿宋_GBK"/>
          <w:sz w:val="32"/>
          <w:szCs w:val="32"/>
        </w:rPr>
        <w:t>2025</w:t>
      </w:r>
      <w:r>
        <w:rPr>
          <w:rFonts w:hint="eastAsia" w:eastAsia="方正仿宋_GBK" w:cs="方正仿宋_GBK"/>
          <w:sz w:val="32"/>
          <w:szCs w:val="32"/>
        </w:rPr>
        <w:t>年，金融业增加值达到</w:t>
      </w:r>
      <w:r>
        <w:rPr>
          <w:rFonts w:eastAsia="方正仿宋_GBK"/>
          <w:sz w:val="32"/>
          <w:szCs w:val="32"/>
        </w:rPr>
        <w:t>600</w:t>
      </w:r>
      <w:r>
        <w:rPr>
          <w:rFonts w:hint="eastAsia" w:eastAsia="方正仿宋_GBK" w:cs="方正仿宋_GBK"/>
          <w:sz w:val="32"/>
          <w:szCs w:val="32"/>
        </w:rPr>
        <w:t>亿，新增挂牌、上市企业</w:t>
      </w:r>
      <w:r>
        <w:rPr>
          <w:rFonts w:eastAsia="方正仿宋_GBK"/>
          <w:sz w:val="32"/>
          <w:szCs w:val="32"/>
        </w:rPr>
        <w:t>20</w:t>
      </w:r>
      <w:r>
        <w:rPr>
          <w:rFonts w:hint="eastAsia" w:eastAsia="方正仿宋_GBK" w:cs="方正仿宋_GBK"/>
          <w:sz w:val="32"/>
          <w:szCs w:val="32"/>
        </w:rPr>
        <w:t>家。</w:t>
      </w:r>
    </w:p>
    <w:p w14:paraId="5C9EA428">
      <w:pPr>
        <w:pStyle w:val="5"/>
        <w:spacing w:after="200" w:line="520" w:lineRule="exact"/>
        <w:jc w:val="center"/>
        <w:rPr>
          <w:rFonts w:ascii="方正楷体_GBK" w:hAnsi="方正楷体_GBK" w:eastAsia="方正楷体_GBK"/>
          <w:b w:val="0"/>
          <w:bCs w:val="0"/>
        </w:rPr>
      </w:pPr>
      <w:bookmarkStart w:id="89" w:name="_Toc60466237"/>
      <w:r>
        <w:rPr>
          <w:rFonts w:hint="eastAsia" w:ascii="方正楷体_GBK" w:hAnsi="方正楷体_GBK" w:eastAsia="方正楷体_GBK" w:cs="方正楷体_GBK"/>
          <w:b w:val="0"/>
          <w:bCs w:val="0"/>
        </w:rPr>
        <w:t>第三节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推进文旅商融合发展</w:t>
      </w:r>
      <w:bookmarkEnd w:id="89"/>
    </w:p>
    <w:p w14:paraId="14C40BB1">
      <w:pPr>
        <w:spacing w:line="590" w:lineRule="exact"/>
        <w:ind w:firstLine="629"/>
        <w:rPr>
          <w:rFonts w:eastAsia="方正仿宋_GBK"/>
          <w:sz w:val="32"/>
          <w:szCs w:val="32"/>
        </w:rPr>
      </w:pPr>
      <w:r>
        <w:rPr>
          <w:rFonts w:hint="eastAsia" w:eastAsia="方正仿宋_GBK" w:cs="方正仿宋_GBK"/>
          <w:sz w:val="32"/>
          <w:szCs w:val="32"/>
        </w:rPr>
        <w:t>推动文旅商跨界融合发展，打造国际文化休闲旅游目的地，建成</w:t>
      </w:r>
      <w:r>
        <w:rPr>
          <w:rFonts w:eastAsia="方正仿宋_GBK"/>
          <w:sz w:val="32"/>
          <w:szCs w:val="32"/>
        </w:rPr>
        <w:t>2-3</w:t>
      </w:r>
      <w:r>
        <w:rPr>
          <w:rFonts w:hint="eastAsia" w:eastAsia="方正仿宋_GBK" w:cs="方正仿宋_GBK"/>
          <w:sz w:val="32"/>
          <w:szCs w:val="32"/>
        </w:rPr>
        <w:t>个国内领先、世界知名的文旅商融合发展商圈和步行街。在夫子庙、老门东等区域引入国内知名</w:t>
      </w:r>
      <w:r>
        <w:rPr>
          <w:rFonts w:eastAsia="方正仿宋_GBK"/>
          <w:sz w:val="32"/>
          <w:szCs w:val="32"/>
        </w:rPr>
        <w:t>MCN</w:t>
      </w:r>
      <w:r>
        <w:rPr>
          <w:rFonts w:hint="eastAsia" w:eastAsia="方正仿宋_GBK" w:cs="方正仿宋_GBK"/>
          <w:sz w:val="32"/>
          <w:szCs w:val="32"/>
        </w:rPr>
        <w:t>机构及网红，引进文旅消费的“首店”、“总店”，打造</w:t>
      </w:r>
      <w:r>
        <w:rPr>
          <w:rFonts w:eastAsia="方正仿宋_GBK"/>
          <w:sz w:val="32"/>
          <w:szCs w:val="32"/>
        </w:rPr>
        <w:t>3-5</w:t>
      </w:r>
      <w:r>
        <w:rPr>
          <w:rFonts w:hint="eastAsia" w:eastAsia="方正仿宋_GBK" w:cs="方正仿宋_GBK"/>
          <w:sz w:val="32"/>
          <w:szCs w:val="32"/>
        </w:rPr>
        <w:t>条具有独特体验感的文化廊道，布局演艺、展览等沉浸式体验项目、创意产品和时尚活动。打造短视频产业园，集聚</w:t>
      </w:r>
      <w:r>
        <w:rPr>
          <w:rFonts w:eastAsia="方正仿宋_GBK"/>
          <w:sz w:val="32"/>
          <w:szCs w:val="32"/>
        </w:rPr>
        <w:t>MCN</w:t>
      </w:r>
      <w:r>
        <w:rPr>
          <w:rFonts w:hint="eastAsia" w:eastAsia="方正仿宋_GBK" w:cs="方正仿宋_GBK"/>
          <w:sz w:val="32"/>
          <w:szCs w:val="32"/>
        </w:rPr>
        <w:t>机构以及直播培训、媒体融合、云视频平台、智能剪辑上下游产业链企业。做大“网文谷”传播流量，发展网络文学的影视化转化和版权交易产业。推动全域旅游数据中心改造提升，构建“吃、住、行、游、购、娱”智慧旅游体系。到</w:t>
      </w:r>
      <w:r>
        <w:rPr>
          <w:rFonts w:eastAsia="方正仿宋_GBK"/>
          <w:sz w:val="32"/>
          <w:szCs w:val="32"/>
        </w:rPr>
        <w:t>2025</w:t>
      </w:r>
      <w:r>
        <w:rPr>
          <w:rFonts w:hint="eastAsia" w:eastAsia="方正仿宋_GBK" w:cs="方正仿宋_GBK"/>
          <w:sz w:val="32"/>
          <w:szCs w:val="32"/>
        </w:rPr>
        <w:t>年，旅游总收入达</w:t>
      </w:r>
      <w:r>
        <w:rPr>
          <w:rFonts w:eastAsia="方正仿宋_GBK"/>
          <w:sz w:val="32"/>
          <w:szCs w:val="32"/>
        </w:rPr>
        <w:t>1500</w:t>
      </w:r>
      <w:r>
        <w:rPr>
          <w:rFonts w:hint="eastAsia" w:eastAsia="方正仿宋_GBK" w:cs="方正仿宋_GBK"/>
          <w:sz w:val="32"/>
          <w:szCs w:val="32"/>
        </w:rPr>
        <w:t>亿，文化产业增加值占</w:t>
      </w:r>
      <w:r>
        <w:rPr>
          <w:rFonts w:eastAsia="方正仿宋_GBK"/>
          <w:sz w:val="32"/>
          <w:szCs w:val="32"/>
        </w:rPr>
        <w:t>GDP</w:t>
      </w:r>
      <w:r>
        <w:rPr>
          <w:rFonts w:hint="eastAsia" w:eastAsia="方正仿宋_GBK" w:cs="方正仿宋_GBK"/>
          <w:sz w:val="32"/>
          <w:szCs w:val="32"/>
        </w:rPr>
        <w:t>比重达</w:t>
      </w:r>
      <w:r>
        <w:rPr>
          <w:rFonts w:eastAsia="方正仿宋_GBK"/>
          <w:sz w:val="32"/>
          <w:szCs w:val="32"/>
        </w:rPr>
        <w:t>9%</w:t>
      </w:r>
      <w:r>
        <w:rPr>
          <w:rFonts w:hint="eastAsia" w:eastAsia="方正仿宋_GBK" w:cs="方正仿宋_GBK"/>
          <w:sz w:val="32"/>
          <w:szCs w:val="32"/>
        </w:rPr>
        <w:t>。</w:t>
      </w:r>
    </w:p>
    <w:p w14:paraId="4C512BFD">
      <w:pPr>
        <w:pStyle w:val="5"/>
        <w:spacing w:after="200" w:line="520" w:lineRule="exact"/>
        <w:jc w:val="center"/>
        <w:rPr>
          <w:rFonts w:eastAsia="华文中宋"/>
          <w:b w:val="0"/>
          <w:bCs w:val="0"/>
        </w:rPr>
      </w:pPr>
      <w:bookmarkStart w:id="90" w:name="_Toc60466238"/>
      <w:r>
        <w:rPr>
          <w:rFonts w:hint="eastAsia" w:ascii="方正楷体_GBK" w:hAnsi="方正楷体_GBK" w:eastAsia="方正楷体_GBK" w:cs="方正楷体_GBK"/>
          <w:b w:val="0"/>
          <w:bCs w:val="0"/>
        </w:rPr>
        <w:t>第四节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做强软件和信息服务</w:t>
      </w:r>
      <w:bookmarkEnd w:id="90"/>
    </w:p>
    <w:p w14:paraId="3989781A">
      <w:pPr>
        <w:spacing w:line="590" w:lineRule="exact"/>
        <w:ind w:firstLine="629"/>
        <w:rPr>
          <w:rFonts w:eastAsia="方正仿宋_GBK"/>
          <w:sz w:val="32"/>
          <w:szCs w:val="32"/>
        </w:rPr>
      </w:pPr>
      <w:r>
        <w:rPr>
          <w:rFonts w:hint="eastAsia" w:eastAsia="方正仿宋_GBK" w:cs="方正仿宋_GBK"/>
          <w:sz w:val="32"/>
          <w:szCs w:val="32"/>
        </w:rPr>
        <w:t>加快软件和信息服务产业关键领域技术突破，发展云计算和大数据、高端软件开发和通信信息服务领域等细分产业。依托白下高新区、南部新城，打造云计算创新基地，培育大数据交易市场；依托通服大厦、悦动</w:t>
      </w:r>
      <w:r>
        <w:rPr>
          <w:rFonts w:eastAsia="方正仿宋_GBK"/>
          <w:sz w:val="32"/>
          <w:szCs w:val="32"/>
        </w:rPr>
        <w:t>·</w:t>
      </w:r>
      <w:r>
        <w:rPr>
          <w:rFonts w:hint="eastAsia" w:eastAsia="方正仿宋_GBK" w:cs="方正仿宋_GBK"/>
          <w:sz w:val="32"/>
          <w:szCs w:val="32"/>
        </w:rPr>
        <w:t>新门西，发展网络通信产业集群。发展智慧政务、智慧交通、智慧城市、人工智能、电子商务、消费金融等领域的行业应用软件。支持网络传输及运营、互联网信息服务、信息安全服务、信息咨询服务及系统集成等产业集聚发展。重点发展面向车联网的位置服务、高清视频通信网络服务，加快发展面向电子商务、消费金融的技术服务平台和解决方案提供商和产业链布局。到</w:t>
      </w:r>
      <w:r>
        <w:rPr>
          <w:rFonts w:eastAsia="方正仿宋_GBK"/>
          <w:sz w:val="32"/>
          <w:szCs w:val="32"/>
        </w:rPr>
        <w:t>2025</w:t>
      </w:r>
      <w:r>
        <w:rPr>
          <w:rFonts w:hint="eastAsia" w:eastAsia="方正仿宋_GBK" w:cs="方正仿宋_GBK"/>
          <w:sz w:val="32"/>
          <w:szCs w:val="32"/>
        </w:rPr>
        <w:t>年，累计新增上云企业</w:t>
      </w:r>
      <w:r>
        <w:rPr>
          <w:rFonts w:eastAsia="方正仿宋_GBK"/>
          <w:sz w:val="32"/>
          <w:szCs w:val="32"/>
        </w:rPr>
        <w:t>500</w:t>
      </w:r>
      <w:r>
        <w:rPr>
          <w:rFonts w:hint="eastAsia" w:eastAsia="方正仿宋_GBK" w:cs="方正仿宋_GBK"/>
          <w:sz w:val="32"/>
          <w:szCs w:val="32"/>
        </w:rPr>
        <w:t>家，软件和信息服务业收入达到</w:t>
      </w:r>
      <w:r>
        <w:rPr>
          <w:rFonts w:eastAsia="方正仿宋_GBK"/>
          <w:sz w:val="32"/>
          <w:szCs w:val="32"/>
        </w:rPr>
        <w:t>1000</w:t>
      </w:r>
      <w:r>
        <w:rPr>
          <w:rFonts w:hint="eastAsia" w:eastAsia="方正仿宋_GBK" w:cs="方正仿宋_GBK"/>
          <w:sz w:val="32"/>
          <w:szCs w:val="32"/>
        </w:rPr>
        <w:t>亿元。</w:t>
      </w:r>
    </w:p>
    <w:p w14:paraId="10E39AEA">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91" w:name="_Toc60466239"/>
    </w:p>
    <w:p w14:paraId="3C15BB4F">
      <w:pPr>
        <w:pStyle w:val="4"/>
        <w:keepNext w:val="0"/>
        <w:keepLines w:val="0"/>
        <w:spacing w:beforeLines="100" w:afterLines="100" w:line="540" w:lineRule="exact"/>
        <w:jc w:val="center"/>
        <w:rPr>
          <w:rFonts w:ascii="方正黑体_GBK" w:hAnsi="方正黑体_GBK" w:eastAsia="方正黑体_GBK" w:cs="Times New Roman"/>
          <w:b w:val="0"/>
          <w:bCs w:val="0"/>
        </w:rPr>
      </w:pPr>
      <w:r>
        <w:rPr>
          <w:rFonts w:hint="eastAsia" w:ascii="方正黑体_GBK" w:hAnsi="方正黑体_GBK" w:eastAsia="方正黑体_GBK" w:cs="方正黑体_GBK"/>
          <w:b w:val="0"/>
          <w:bCs w:val="0"/>
        </w:rPr>
        <w:t>第十章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激发新兴产业发展潜能</w:t>
      </w:r>
      <w:bookmarkEnd w:id="91"/>
    </w:p>
    <w:p w14:paraId="08AC5027">
      <w:pPr>
        <w:pStyle w:val="5"/>
        <w:spacing w:after="200" w:line="520" w:lineRule="exact"/>
        <w:jc w:val="center"/>
        <w:rPr>
          <w:rFonts w:ascii="方正楷体_GBK" w:hAnsi="方正楷体_GBK" w:eastAsia="方正楷体_GBK"/>
          <w:b w:val="0"/>
          <w:bCs w:val="0"/>
        </w:rPr>
      </w:pPr>
      <w:bookmarkStart w:id="92" w:name="_Toc60466240"/>
      <w:r>
        <w:rPr>
          <w:rFonts w:hint="eastAsia" w:ascii="方正楷体_GBK" w:hAnsi="方正楷体_GBK" w:eastAsia="方正楷体_GBK" w:cs="方正楷体_GBK"/>
          <w:b w:val="0"/>
          <w:bCs w:val="0"/>
        </w:rPr>
        <w:t>第一节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加速布局认知物联网</w:t>
      </w:r>
      <w:bookmarkEnd w:id="92"/>
    </w:p>
    <w:p w14:paraId="3D805370">
      <w:pPr>
        <w:spacing w:line="590" w:lineRule="exact"/>
        <w:ind w:firstLine="629"/>
        <w:rPr>
          <w:rFonts w:eastAsia="方正仿宋_GBK"/>
          <w:sz w:val="32"/>
          <w:szCs w:val="32"/>
        </w:rPr>
      </w:pPr>
      <w:r>
        <w:rPr>
          <w:rFonts w:hint="eastAsia" w:eastAsia="方正仿宋_GBK" w:cs="方正仿宋_GBK"/>
          <w:sz w:val="32"/>
          <w:szCs w:val="32"/>
        </w:rPr>
        <w:t>发挥联通、天翼等物联网项目辐射带动作用，提高认知物联网自主创新能力和水平，聚焦芯片、传感器、系统软件开发、系统集成及应用服务类产业布局和头部企业引进。依托白下高新区、悦动·新门西，打造认知物联网产业生态基地和智慧核心；依托金陵智造创新带，串连认知物联网产业孵化带；依托中航科技城、东八区、金蝶软件园，打造认知物联网多点应用研究承接示范区。到</w:t>
      </w:r>
      <w:r>
        <w:rPr>
          <w:rFonts w:eastAsia="方正仿宋_GBK"/>
          <w:sz w:val="32"/>
          <w:szCs w:val="32"/>
        </w:rPr>
        <w:t>2025</w:t>
      </w:r>
      <w:r>
        <w:rPr>
          <w:rFonts w:hint="eastAsia" w:eastAsia="方正仿宋_GBK" w:cs="方正仿宋_GBK"/>
          <w:sz w:val="32"/>
          <w:szCs w:val="32"/>
        </w:rPr>
        <w:t>年，引育产业链核心和关联企业</w:t>
      </w:r>
      <w:r>
        <w:rPr>
          <w:rFonts w:eastAsia="方正仿宋_GBK"/>
          <w:sz w:val="32"/>
          <w:szCs w:val="32"/>
        </w:rPr>
        <w:t>450</w:t>
      </w:r>
      <w:r>
        <w:rPr>
          <w:rFonts w:hint="eastAsia" w:eastAsia="方正仿宋_GBK" w:cs="方正仿宋_GBK"/>
          <w:sz w:val="32"/>
          <w:szCs w:val="32"/>
        </w:rPr>
        <w:t>家，认知物联网产业规模达</w:t>
      </w:r>
      <w:r>
        <w:rPr>
          <w:rFonts w:eastAsia="方正仿宋_GBK"/>
          <w:sz w:val="32"/>
          <w:szCs w:val="32"/>
        </w:rPr>
        <w:t>500</w:t>
      </w:r>
      <w:r>
        <w:rPr>
          <w:rFonts w:hint="eastAsia" w:eastAsia="方正仿宋_GBK" w:cs="方正仿宋_GBK"/>
          <w:sz w:val="32"/>
          <w:szCs w:val="32"/>
        </w:rPr>
        <w:t>亿元。</w:t>
      </w:r>
    </w:p>
    <w:p w14:paraId="34C061A0">
      <w:pPr>
        <w:pStyle w:val="5"/>
        <w:spacing w:after="200" w:line="520" w:lineRule="exact"/>
        <w:jc w:val="center"/>
        <w:rPr>
          <w:rFonts w:ascii="方正楷体_GBK" w:hAnsi="方正楷体_GBK" w:eastAsia="方正楷体_GBK"/>
          <w:b w:val="0"/>
          <w:bCs w:val="0"/>
        </w:rPr>
      </w:pPr>
      <w:bookmarkStart w:id="93" w:name="_Toc60466241"/>
      <w:r>
        <w:rPr>
          <w:rFonts w:hint="eastAsia" w:ascii="方正楷体_GBK" w:hAnsi="方正楷体_GBK" w:eastAsia="方正楷体_GBK" w:cs="方正楷体_GBK"/>
          <w:b w:val="0"/>
          <w:bCs w:val="0"/>
        </w:rPr>
        <w:t>第二节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提速发展车联网</w:t>
      </w:r>
      <w:bookmarkEnd w:id="93"/>
    </w:p>
    <w:p w14:paraId="4FF6B1DC">
      <w:pPr>
        <w:spacing w:line="590" w:lineRule="exact"/>
        <w:ind w:firstLine="629"/>
        <w:rPr>
          <w:rFonts w:eastAsia="方正仿宋_GBK"/>
          <w:sz w:val="32"/>
          <w:szCs w:val="32"/>
        </w:rPr>
      </w:pPr>
      <w:r>
        <w:rPr>
          <w:rFonts w:hint="eastAsia" w:eastAsia="方正仿宋_GBK" w:cs="方正仿宋_GBK"/>
          <w:sz w:val="32"/>
          <w:szCs w:val="32"/>
        </w:rPr>
        <w:t>建设省级车联网先导区，打造车联网协同创新网络与平台，完善车联网创新生态体系。聚焦智能视频检测器、车载安全网关等领域，引进相关领域关键技术研究机构，力争在车联网行业标准制定上抢占先发优势。加速完成智能网联建设工程，打造新一代智慧交通系统。拓展自动驾驶与车路协同等车联网应用场景建设，到</w:t>
      </w:r>
      <w:r>
        <w:rPr>
          <w:rFonts w:eastAsia="方正仿宋_GBK"/>
          <w:sz w:val="32"/>
          <w:szCs w:val="32"/>
        </w:rPr>
        <w:t>2025</w:t>
      </w:r>
      <w:r>
        <w:rPr>
          <w:rFonts w:hint="eastAsia" w:eastAsia="方正仿宋_GBK" w:cs="方正仿宋_GBK"/>
          <w:sz w:val="32"/>
          <w:szCs w:val="32"/>
        </w:rPr>
        <w:t>年，实现车路协同应用场景超百个，车联网产业规模达</w:t>
      </w:r>
      <w:r>
        <w:rPr>
          <w:rFonts w:eastAsia="方正仿宋_GBK"/>
          <w:sz w:val="32"/>
          <w:szCs w:val="32"/>
        </w:rPr>
        <w:t>1000</w:t>
      </w:r>
      <w:r>
        <w:rPr>
          <w:rFonts w:hint="eastAsia" w:eastAsia="方正仿宋_GBK" w:cs="方正仿宋_GBK"/>
          <w:sz w:val="32"/>
          <w:szCs w:val="32"/>
        </w:rPr>
        <w:t>亿元。</w:t>
      </w:r>
    </w:p>
    <w:p w14:paraId="1B7732AB">
      <w:pPr>
        <w:pStyle w:val="5"/>
        <w:spacing w:after="200" w:line="520" w:lineRule="exact"/>
        <w:jc w:val="center"/>
        <w:rPr>
          <w:rFonts w:eastAsia="华文中宋"/>
          <w:b w:val="0"/>
          <w:bCs w:val="0"/>
        </w:rPr>
      </w:pPr>
      <w:bookmarkStart w:id="94" w:name="_Toc60466242"/>
      <w:r>
        <w:rPr>
          <w:rFonts w:hint="eastAsia" w:ascii="方正楷体_GBK" w:hAnsi="方正楷体_GBK" w:eastAsia="方正楷体_GBK" w:cs="方正楷体_GBK"/>
          <w:b w:val="0"/>
          <w:bCs w:val="0"/>
        </w:rPr>
        <w:t>第三节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加紧突破人工智能</w:t>
      </w:r>
      <w:bookmarkEnd w:id="94"/>
    </w:p>
    <w:p w14:paraId="7D2A3316">
      <w:pPr>
        <w:spacing w:line="590" w:lineRule="exact"/>
        <w:ind w:firstLine="629"/>
        <w:rPr>
          <w:rFonts w:eastAsia="方正仿宋_GBK"/>
          <w:sz w:val="32"/>
          <w:szCs w:val="32"/>
        </w:rPr>
      </w:pPr>
      <w:r>
        <w:rPr>
          <w:rFonts w:hint="eastAsia" w:eastAsia="方正仿宋_GBK" w:cs="方正仿宋_GBK"/>
          <w:sz w:val="32"/>
          <w:szCs w:val="32"/>
        </w:rPr>
        <w:t>促进人工智能与都市工业发展深度融合，重点支持无人机智能制造及传统技能工艺制造智能化改造。建立覆盖智能制造关键环节的工业云、工业大数据平台，打造工业大数据软硬件产品体系。推广网络协同制造、大规模个性化定制和远程运维服务等新型智能制造模式。推动科研院所、高校、企业加强协作，研发新一代人工智能基础理论和关键共性技术。到</w:t>
      </w:r>
      <w:r>
        <w:rPr>
          <w:rFonts w:eastAsia="方正仿宋_GBK"/>
          <w:sz w:val="32"/>
          <w:szCs w:val="32"/>
        </w:rPr>
        <w:t>2025</w:t>
      </w:r>
      <w:r>
        <w:rPr>
          <w:rFonts w:hint="eastAsia" w:eastAsia="方正仿宋_GBK" w:cs="方正仿宋_GBK"/>
          <w:sz w:val="32"/>
          <w:szCs w:val="32"/>
        </w:rPr>
        <w:t>年，人工智能产业规模达</w:t>
      </w:r>
      <w:r>
        <w:rPr>
          <w:rFonts w:eastAsia="方正仿宋_GBK"/>
          <w:sz w:val="32"/>
          <w:szCs w:val="32"/>
        </w:rPr>
        <w:t>500</w:t>
      </w:r>
      <w:r>
        <w:rPr>
          <w:rFonts w:hint="eastAsia" w:eastAsia="方正仿宋_GBK" w:cs="方正仿宋_GBK"/>
          <w:sz w:val="32"/>
          <w:szCs w:val="32"/>
        </w:rPr>
        <w:t>亿元。</w:t>
      </w:r>
    </w:p>
    <w:p w14:paraId="1CAC8A90">
      <w:pPr>
        <w:pStyle w:val="5"/>
        <w:spacing w:after="200" w:line="520" w:lineRule="exact"/>
        <w:jc w:val="center"/>
        <w:rPr>
          <w:rFonts w:ascii="方正楷体_GBK" w:hAnsi="方正楷体_GBK" w:eastAsia="方正楷体_GBK"/>
          <w:b w:val="0"/>
          <w:bCs w:val="0"/>
        </w:rPr>
      </w:pPr>
      <w:bookmarkStart w:id="95" w:name="_Toc60466243"/>
      <w:r>
        <w:rPr>
          <w:rFonts w:hint="eastAsia" w:ascii="方正楷体_GBK" w:hAnsi="方正楷体_GBK" w:eastAsia="方正楷体_GBK" w:cs="方正楷体_GBK"/>
          <w:b w:val="0"/>
          <w:bCs w:val="0"/>
        </w:rPr>
        <w:t>第四节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深入推进大健康</w:t>
      </w:r>
      <w:bookmarkEnd w:id="95"/>
    </w:p>
    <w:p w14:paraId="63EAD48B">
      <w:pPr>
        <w:spacing w:line="590" w:lineRule="exact"/>
        <w:ind w:firstLine="629"/>
        <w:rPr>
          <w:rFonts w:eastAsia="方正仿宋_GBK"/>
          <w:sz w:val="32"/>
          <w:szCs w:val="32"/>
        </w:rPr>
      </w:pPr>
      <w:r>
        <w:rPr>
          <w:rFonts w:hint="eastAsia" w:eastAsia="方正仿宋_GBK" w:cs="方正仿宋_GBK"/>
          <w:sz w:val="32"/>
          <w:szCs w:val="32"/>
        </w:rPr>
        <w:t>促进健康与科技、养老、健身、体育等深度融合，打造大健康生态圈。推进“互联网医院”建设，深化“互联网</w:t>
      </w:r>
      <w:r>
        <w:rPr>
          <w:rFonts w:eastAsia="方正仿宋_GBK"/>
          <w:sz w:val="32"/>
          <w:szCs w:val="32"/>
        </w:rPr>
        <w:t>+</w:t>
      </w:r>
      <w:r>
        <w:rPr>
          <w:rFonts w:hint="eastAsia" w:eastAsia="方正仿宋_GBK" w:cs="方正仿宋_GBK"/>
          <w:sz w:val="32"/>
          <w:szCs w:val="32"/>
        </w:rPr>
        <w:t>护理服务”，加快移动医疗、远程医疗等“互联网</w:t>
      </w:r>
      <w:r>
        <w:rPr>
          <w:rFonts w:eastAsia="方正仿宋_GBK"/>
          <w:sz w:val="32"/>
          <w:szCs w:val="32"/>
        </w:rPr>
        <w:t>+</w:t>
      </w:r>
      <w:r>
        <w:rPr>
          <w:rFonts w:hint="eastAsia" w:eastAsia="方正仿宋_GBK" w:cs="方正仿宋_GBK"/>
          <w:sz w:val="32"/>
          <w:szCs w:val="32"/>
        </w:rPr>
        <w:t>医疗”模式创新。探索医疗机构与养老机构合作新模式，加快推进面向养老机构的远程医疗服务试点。推动信息技术与健康服务融合，发展智慧健康咨询、智慧预防、智慧护理等健康管理服务。整合传媒、演艺、旅游项目和体育赛事资源，促进体育产业化，引导居民体育健身消费。到</w:t>
      </w:r>
      <w:r>
        <w:rPr>
          <w:rFonts w:eastAsia="方正仿宋_GBK"/>
          <w:sz w:val="32"/>
          <w:szCs w:val="32"/>
        </w:rPr>
        <w:t>2025</w:t>
      </w:r>
      <w:r>
        <w:rPr>
          <w:rFonts w:hint="eastAsia" w:eastAsia="方正仿宋_GBK" w:cs="方正仿宋_GBK"/>
          <w:sz w:val="32"/>
          <w:szCs w:val="32"/>
        </w:rPr>
        <w:t>年，大健康产业规模达</w:t>
      </w:r>
      <w:r>
        <w:rPr>
          <w:rFonts w:eastAsia="方正仿宋_GBK"/>
          <w:sz w:val="32"/>
          <w:szCs w:val="32"/>
        </w:rPr>
        <w:t>1200</w:t>
      </w:r>
      <w:r>
        <w:rPr>
          <w:rFonts w:hint="eastAsia" w:eastAsia="方正仿宋_GBK" w:cs="方正仿宋_GBK"/>
          <w:sz w:val="32"/>
          <w:szCs w:val="32"/>
        </w:rPr>
        <w:t>亿元。</w:t>
      </w:r>
    </w:p>
    <w:p w14:paraId="44C3C1FA">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96" w:name="_Toc60466244"/>
      <w:r>
        <w:rPr>
          <w:rFonts w:hint="eastAsia" w:ascii="方正黑体_GBK" w:hAnsi="方正黑体_GBK" w:eastAsia="方正黑体_GBK" w:cs="方正黑体_GBK"/>
          <w:b w:val="0"/>
          <w:bCs w:val="0"/>
        </w:rPr>
        <w:t>第十一章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加快发展现代都市工业</w:t>
      </w:r>
      <w:bookmarkEnd w:id="96"/>
      <w:bookmarkStart w:id="97" w:name="_Toc60466245"/>
    </w:p>
    <w:p w14:paraId="0C43FFFA">
      <w:pPr>
        <w:pStyle w:val="4"/>
        <w:keepNext w:val="0"/>
        <w:keepLines w:val="0"/>
        <w:spacing w:beforeLines="100" w:after="0" w:line="520" w:lineRule="exact"/>
        <w:jc w:val="center"/>
        <w:rPr>
          <w:rFonts w:ascii="方正楷体_GBK" w:hAnsi="方正楷体_GBK" w:eastAsia="方正楷体_GBK" w:cs="Times New Roman"/>
          <w:b w:val="0"/>
          <w:bCs w:val="0"/>
        </w:rPr>
      </w:pPr>
      <w:r>
        <w:rPr>
          <w:rFonts w:hint="eastAsia" w:ascii="方正楷体_GBK" w:hAnsi="方正楷体_GBK" w:eastAsia="方正楷体_GBK" w:cs="方正楷体_GBK"/>
          <w:b w:val="0"/>
          <w:bCs w:val="0"/>
        </w:rPr>
        <w:t>第一节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推进智能制造发展</w:t>
      </w:r>
      <w:bookmarkEnd w:id="97"/>
    </w:p>
    <w:p w14:paraId="4BD6220E">
      <w:pPr>
        <w:spacing w:line="590" w:lineRule="exact"/>
        <w:ind w:firstLine="629"/>
        <w:rPr>
          <w:rFonts w:eastAsia="方正仿宋_GBK"/>
          <w:sz w:val="32"/>
          <w:szCs w:val="32"/>
        </w:rPr>
      </w:pPr>
      <w:r>
        <w:rPr>
          <w:rFonts w:hint="eastAsia" w:eastAsia="方正仿宋_GBK" w:cs="方正仿宋_GBK"/>
          <w:sz w:val="32"/>
          <w:szCs w:val="32"/>
        </w:rPr>
        <w:t>以金陵智能制造研究院、晨光集团、金城集团等企业为依托，加快智能制造关键技术装备和相关产品研发制造，推进重点领域集成应用，储备积累一批核心</w:t>
      </w:r>
      <w:r>
        <w:fldChar w:fldCharType="begin"/>
      </w:r>
      <w:r>
        <w:instrText xml:space="preserve"> HYPERLINK "https://baike.baidu.com/item/%E7%9F%A5%E8%AF%86%E4%BA%A7%E6%9D%83/85044" \t "_blank" </w:instrText>
      </w:r>
      <w:r>
        <w:fldChar w:fldCharType="separate"/>
      </w:r>
      <w:r>
        <w:rPr>
          <w:rFonts w:hint="eastAsia" w:eastAsia="方正仿宋_GBK" w:cs="方正仿宋_GBK"/>
          <w:sz w:val="32"/>
          <w:szCs w:val="32"/>
        </w:rPr>
        <w:t>知识产权</w:t>
      </w:r>
      <w:r>
        <w:rPr>
          <w:rFonts w:hint="eastAsia" w:eastAsia="方正仿宋_GBK" w:cs="方正仿宋_GBK"/>
          <w:sz w:val="32"/>
          <w:szCs w:val="32"/>
        </w:rPr>
        <w:fldChar w:fldCharType="end"/>
      </w:r>
      <w:r>
        <w:rPr>
          <w:rFonts w:hint="eastAsia" w:eastAsia="方正仿宋_GBK" w:cs="方正仿宋_GBK"/>
          <w:sz w:val="32"/>
          <w:szCs w:val="32"/>
        </w:rPr>
        <w:t>。引导有技术能力的企业参与技术标准体系建设，推进科研成果实现产业化转化，推进智能制造试点示范。促进企业智能化改造，建设云制造平台和服务平台，在传统制造业推广应用数字化技术、系统集成技术、智能制造装备。</w:t>
      </w:r>
    </w:p>
    <w:p w14:paraId="159DA471">
      <w:pPr>
        <w:pStyle w:val="5"/>
        <w:spacing w:after="200" w:line="520" w:lineRule="exact"/>
        <w:jc w:val="center"/>
        <w:rPr>
          <w:rFonts w:ascii="方正楷体_GBK" w:hAnsi="方正楷体_GBK" w:eastAsia="方正楷体_GBK"/>
          <w:b w:val="0"/>
          <w:bCs w:val="0"/>
        </w:rPr>
      </w:pPr>
      <w:bookmarkStart w:id="98" w:name="_Toc60466246"/>
      <w:r>
        <w:rPr>
          <w:rFonts w:hint="eastAsia" w:ascii="方正楷体_GBK" w:hAnsi="方正楷体_GBK" w:eastAsia="方正楷体_GBK" w:cs="方正楷体_GBK"/>
          <w:b w:val="0"/>
          <w:bCs w:val="0"/>
        </w:rPr>
        <w:t>第二节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引导传统工企转型升级</w:t>
      </w:r>
      <w:bookmarkEnd w:id="98"/>
    </w:p>
    <w:p w14:paraId="44F75958">
      <w:pPr>
        <w:spacing w:line="590" w:lineRule="exact"/>
        <w:ind w:firstLine="629"/>
        <w:rPr>
          <w:rFonts w:eastAsia="方正仿宋_GBK"/>
          <w:sz w:val="32"/>
          <w:szCs w:val="32"/>
        </w:rPr>
      </w:pPr>
      <w:r>
        <w:rPr>
          <w:rFonts w:hint="eastAsia" w:eastAsia="方正仿宋_GBK" w:cs="方正仿宋_GBK"/>
          <w:sz w:val="32"/>
          <w:szCs w:val="32"/>
        </w:rPr>
        <w:t>鼓励存量都市工业企业转型升级，引导具有核心技术的企业以信息系统集成服务为手段，提升产品价值，实现服务创新。引导中小型制造业企业从售后服务环节延长产品生命周期提升效益，实现制造业服务化转型。引导制造业企业协同发展线上服务平台，支持大型企业将非核心业务外包，专注于创新能力建设。</w:t>
      </w:r>
    </w:p>
    <w:p w14:paraId="4808FEF0">
      <w:pPr>
        <w:pStyle w:val="5"/>
        <w:spacing w:after="200" w:line="520" w:lineRule="exact"/>
        <w:jc w:val="center"/>
        <w:rPr>
          <w:rFonts w:eastAsia="华文中宋"/>
          <w:b w:val="0"/>
          <w:bCs w:val="0"/>
        </w:rPr>
      </w:pPr>
      <w:bookmarkStart w:id="99" w:name="_Toc60466247"/>
      <w:r>
        <w:rPr>
          <w:rFonts w:hint="eastAsia" w:ascii="方正楷体_GBK" w:hAnsi="方正楷体_GBK" w:eastAsia="方正楷体_GBK" w:cs="方正楷体_GBK"/>
          <w:b w:val="0"/>
          <w:bCs w:val="0"/>
        </w:rPr>
        <w:t>第三节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打造都市工业集群</w:t>
      </w:r>
      <w:bookmarkEnd w:id="99"/>
    </w:p>
    <w:p w14:paraId="5818241D">
      <w:pPr>
        <w:spacing w:line="590" w:lineRule="exact"/>
        <w:ind w:firstLine="629"/>
        <w:rPr>
          <w:rFonts w:eastAsia="方正仿宋_GBK"/>
          <w:sz w:val="32"/>
          <w:szCs w:val="32"/>
        </w:rPr>
      </w:pPr>
      <w:r>
        <w:rPr>
          <w:rFonts w:hint="eastAsia" w:eastAsia="方正仿宋_GBK" w:cs="方正仿宋_GBK"/>
          <w:sz w:val="32"/>
          <w:szCs w:val="32"/>
        </w:rPr>
        <w:t>集约利用工业园区资源，限制“工改商”、“工改居”等非工业转型类城市更新。聚焦以白下高新区北侧、双龙科技园等存量载体，规划建设</w:t>
      </w:r>
      <w:r>
        <w:rPr>
          <w:rFonts w:eastAsia="方正仿宋_GBK"/>
          <w:sz w:val="32"/>
          <w:szCs w:val="32"/>
        </w:rPr>
        <w:t>LG</w:t>
      </w:r>
      <w:r>
        <w:rPr>
          <w:rFonts w:hint="eastAsia" w:eastAsia="方正仿宋_GBK" w:cs="方正仿宋_GBK"/>
          <w:sz w:val="32"/>
          <w:szCs w:val="32"/>
        </w:rPr>
        <w:t>北都市智造园，用好金城航空产业园研发优势，打造以软件信息、智能制造、无人机等为特色的都市工业集聚形态。提升工业性质产业园区产出效率，引导企业向楼宇转移，促使低效企业自发腾退，提升单位面积产出水平，构建以都市产业功能区、都市工业社区、都市工业楼宇为支撑的新型都市工业发展格局。到</w:t>
      </w:r>
      <w:r>
        <w:rPr>
          <w:rFonts w:eastAsia="方正仿宋_GBK"/>
          <w:sz w:val="32"/>
          <w:szCs w:val="32"/>
        </w:rPr>
        <w:t>2025</w:t>
      </w:r>
      <w:r>
        <w:rPr>
          <w:rFonts w:hint="eastAsia" w:eastAsia="方正仿宋_GBK" w:cs="方正仿宋_GBK"/>
          <w:sz w:val="32"/>
          <w:szCs w:val="32"/>
        </w:rPr>
        <w:t>年，都市工业规模达</w:t>
      </w:r>
      <w:r>
        <w:rPr>
          <w:rFonts w:eastAsia="方正仿宋_GBK"/>
          <w:sz w:val="32"/>
          <w:szCs w:val="32"/>
        </w:rPr>
        <w:t>500</w:t>
      </w:r>
      <w:r>
        <w:rPr>
          <w:rFonts w:hint="eastAsia" w:eastAsia="方正仿宋_GBK" w:cs="方正仿宋_GBK"/>
          <w:sz w:val="32"/>
          <w:szCs w:val="32"/>
        </w:rPr>
        <w:t>亿元，创建</w:t>
      </w:r>
      <w:r>
        <w:rPr>
          <w:rFonts w:eastAsia="方正仿宋_GBK"/>
          <w:sz w:val="32"/>
          <w:szCs w:val="32"/>
        </w:rPr>
        <w:t>2</w:t>
      </w:r>
      <w:r>
        <w:rPr>
          <w:rFonts w:hint="eastAsia" w:eastAsia="方正仿宋_GBK" w:cs="方正仿宋_GBK"/>
          <w:sz w:val="32"/>
          <w:szCs w:val="32"/>
        </w:rPr>
        <w:t>个产值超</w:t>
      </w:r>
      <w:r>
        <w:rPr>
          <w:rFonts w:eastAsia="方正仿宋_GBK"/>
          <w:sz w:val="32"/>
          <w:szCs w:val="32"/>
        </w:rPr>
        <w:t>100</w:t>
      </w:r>
      <w:r>
        <w:rPr>
          <w:rFonts w:hint="eastAsia" w:eastAsia="方正仿宋_GBK" w:cs="方正仿宋_GBK"/>
          <w:sz w:val="32"/>
          <w:szCs w:val="32"/>
        </w:rPr>
        <w:t>亿元的市级都市工业示范园区。</w:t>
      </w:r>
    </w:p>
    <w:p w14:paraId="7523B6E3">
      <w:pPr>
        <w:pStyle w:val="2"/>
        <w:spacing w:line="520" w:lineRule="exact"/>
      </w:pPr>
    </w:p>
    <w:p w14:paraId="08D22991">
      <w:pPr>
        <w:pStyle w:val="2"/>
        <w:spacing w:line="520" w:lineRule="exact"/>
      </w:pPr>
    </w:p>
    <w:p w14:paraId="6EAD985E">
      <w:pPr>
        <w:pStyle w:val="3"/>
        <w:keepNext w:val="0"/>
        <w:keepLines w:val="0"/>
        <w:spacing w:before="0" w:after="0" w:line="700" w:lineRule="exact"/>
        <w:jc w:val="center"/>
        <w:rPr>
          <w:rFonts w:eastAsia="华文中宋"/>
          <w:b w:val="0"/>
          <w:bCs w:val="0"/>
        </w:rPr>
      </w:pPr>
      <w:bookmarkStart w:id="100" w:name="_Toc60466248"/>
      <w:r>
        <w:rPr>
          <w:rFonts w:hint="eastAsia" w:ascii="方正小标宋_GBK" w:eastAsia="方正小标宋_GBK" w:cs="方正小标宋_GBK"/>
          <w:b w:val="0"/>
          <w:bCs w:val="0"/>
        </w:rPr>
        <w:t>第四篇</w:t>
      </w:r>
      <w:r>
        <w:rPr>
          <w:rFonts w:ascii="方正小标宋_GBK" w:eastAsia="方正小标宋_GBK" w:cs="方正小标宋_GBK"/>
          <w:b w:val="0"/>
          <w:bCs w:val="0"/>
        </w:rPr>
        <w:t xml:space="preserve"> </w:t>
      </w:r>
      <w:r>
        <w:rPr>
          <w:rFonts w:hint="eastAsia" w:ascii="方正小标宋_GBK" w:eastAsia="方正小标宋_GBK" w:cs="方正小标宋_GBK"/>
          <w:b w:val="0"/>
          <w:bCs w:val="0"/>
        </w:rPr>
        <w:t>凸显四大板块特色，实现秦淮水系联动，拓展秦淮空间活力新腹地</w:t>
      </w:r>
      <w:bookmarkEnd w:id="100"/>
    </w:p>
    <w:p w14:paraId="75E2F623">
      <w:pPr>
        <w:spacing w:line="520" w:lineRule="exact"/>
        <w:ind w:firstLine="640" w:firstLineChars="200"/>
        <w:rPr>
          <w:rFonts w:eastAsia="方正仿宋_GBK"/>
          <w:sz w:val="32"/>
          <w:szCs w:val="32"/>
        </w:rPr>
      </w:pPr>
    </w:p>
    <w:p w14:paraId="03B89B13">
      <w:pPr>
        <w:spacing w:line="590" w:lineRule="exact"/>
        <w:ind w:firstLine="629"/>
        <w:rPr>
          <w:rFonts w:eastAsia="方正仿宋_GBK"/>
          <w:sz w:val="32"/>
          <w:szCs w:val="32"/>
        </w:rPr>
      </w:pPr>
      <w:r>
        <w:rPr>
          <w:rFonts w:hint="eastAsia" w:eastAsia="方正仿宋_GBK" w:cs="方正仿宋_GBK"/>
          <w:sz w:val="32"/>
          <w:szCs w:val="32"/>
        </w:rPr>
        <w:t>保持四大板块空间范围不变，对板块发展主线进行优化提升和产业形态聚焦，持续打造新街口现代金融商务区、老城南文旅商融合体验区、东部高新技术产业示范区、南部新城超级总部基地。优化顶层设计，形成产业结构优势互补、城市功能协调互促、公共服务配置均衡的整体协调发展格局。延续“十里秦淮”繁华，拓展秦淮水系沿线产城发展延展空间，打造沿秦淮河产城融合水岸示范带，使源源流淌的秦淮河水成为老城、新城融合通达纽带，使因水而生，以水而名，依水而荣的秦淮，开始迈进“大秦淮河”发展时代。</w:t>
      </w:r>
    </w:p>
    <w:p w14:paraId="339D7969">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101" w:name="_Toc60466249"/>
    </w:p>
    <w:p w14:paraId="7BE7E012">
      <w:pPr>
        <w:pStyle w:val="4"/>
        <w:keepNext w:val="0"/>
        <w:keepLines w:val="0"/>
        <w:spacing w:beforeLines="100" w:afterLines="100" w:line="540" w:lineRule="exact"/>
        <w:jc w:val="center"/>
        <w:rPr>
          <w:rFonts w:ascii="方正黑体_GBK" w:hAnsi="方正黑体_GBK" w:eastAsia="方正黑体_GBK" w:cs="Times New Roman"/>
          <w:b w:val="0"/>
          <w:bCs w:val="0"/>
        </w:rPr>
      </w:pPr>
    </w:p>
    <w:p w14:paraId="2C8DDA42">
      <w:pPr>
        <w:pStyle w:val="4"/>
        <w:keepNext w:val="0"/>
        <w:keepLines w:val="0"/>
        <w:spacing w:beforeLines="100" w:afterLines="100" w:line="540" w:lineRule="exact"/>
        <w:jc w:val="center"/>
        <w:rPr>
          <w:rFonts w:ascii="方正黑体_GBK" w:hAnsi="方正黑体_GBK" w:eastAsia="方正黑体_GBK" w:cs="Times New Roman"/>
          <w:b w:val="0"/>
          <w:bCs w:val="0"/>
        </w:rPr>
      </w:pPr>
    </w:p>
    <w:p w14:paraId="1EF4FF75">
      <w:pPr>
        <w:pStyle w:val="4"/>
        <w:keepNext w:val="0"/>
        <w:keepLines w:val="0"/>
        <w:spacing w:beforeLines="100" w:afterLines="100" w:line="540" w:lineRule="exact"/>
        <w:jc w:val="center"/>
        <w:rPr>
          <w:rFonts w:ascii="方正黑体_GBK" w:hAnsi="方正黑体_GBK" w:eastAsia="方正黑体_GBK" w:cs="Times New Roman"/>
          <w:b w:val="0"/>
          <w:bCs w:val="0"/>
        </w:rPr>
      </w:pPr>
    </w:p>
    <w:p w14:paraId="6F20AB5D">
      <w:pPr>
        <w:pStyle w:val="4"/>
        <w:keepNext w:val="0"/>
        <w:keepLines w:val="0"/>
        <w:spacing w:beforeLines="100" w:afterLines="100" w:line="540" w:lineRule="exact"/>
        <w:jc w:val="center"/>
        <w:rPr>
          <w:rFonts w:ascii="方正黑体_GBK" w:hAnsi="方正黑体_GBK" w:eastAsia="方正黑体_GBK" w:cs="Times New Roman"/>
          <w:b w:val="0"/>
          <w:bCs w:val="0"/>
        </w:rPr>
      </w:pPr>
      <w:r>
        <w:rPr>
          <w:rFonts w:hint="eastAsia" w:ascii="方正黑体_GBK" w:hAnsi="方正黑体_GBK" w:eastAsia="方正黑体_GBK" w:cs="方正黑体_GBK"/>
          <w:b w:val="0"/>
          <w:bCs w:val="0"/>
        </w:rPr>
        <w:t>第十二章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优化四大板块功能布局</w:t>
      </w:r>
      <w:bookmarkEnd w:id="101"/>
    </w:p>
    <w:p w14:paraId="12519A47">
      <w:pPr>
        <w:jc w:val="center"/>
      </w:pPr>
      <w:r>
        <w:drawing>
          <wp:inline distT="0" distB="0" distL="114300" distR="114300">
            <wp:extent cx="4800600" cy="2590800"/>
            <wp:effectExtent l="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1"/>
                    <a:stretch>
                      <a:fillRect/>
                    </a:stretch>
                  </pic:blipFill>
                  <pic:spPr>
                    <a:xfrm>
                      <a:off x="0" y="0"/>
                      <a:ext cx="4800600" cy="2590800"/>
                    </a:xfrm>
                    <a:prstGeom prst="rect">
                      <a:avLst/>
                    </a:prstGeom>
                    <a:noFill/>
                    <a:ln>
                      <a:noFill/>
                    </a:ln>
                  </pic:spPr>
                </pic:pic>
              </a:graphicData>
            </a:graphic>
          </wp:inline>
        </w:drawing>
      </w:r>
    </w:p>
    <w:p w14:paraId="50F379CB">
      <w:pPr>
        <w:spacing w:line="520" w:lineRule="exact"/>
        <w:jc w:val="center"/>
        <w:rPr>
          <w:rFonts w:eastAsia="华文楷体"/>
          <w:sz w:val="28"/>
          <w:szCs w:val="28"/>
        </w:rPr>
      </w:pPr>
      <w:r>
        <w:rPr>
          <w:rFonts w:hint="eastAsia" w:eastAsia="华文楷体" w:cs="华文楷体"/>
          <w:sz w:val="28"/>
          <w:szCs w:val="28"/>
        </w:rPr>
        <w:t>“十四五”四大功能板块空间格局</w:t>
      </w:r>
    </w:p>
    <w:p w14:paraId="1A581816">
      <w:pPr>
        <w:pStyle w:val="5"/>
        <w:spacing w:after="200"/>
        <w:jc w:val="center"/>
        <w:rPr>
          <w:rFonts w:ascii="方正楷体_GBK" w:hAnsi="方正楷体_GBK" w:eastAsia="方正楷体_GBK"/>
          <w:b w:val="0"/>
          <w:bCs w:val="0"/>
        </w:rPr>
      </w:pPr>
      <w:bookmarkStart w:id="102" w:name="_Toc60466250"/>
      <w:r>
        <w:rPr>
          <w:rFonts w:hint="eastAsia" w:ascii="方正楷体_GBK" w:hAnsi="方正楷体_GBK" w:eastAsia="方正楷体_GBK" w:cs="方正楷体_GBK"/>
          <w:b w:val="0"/>
          <w:bCs w:val="0"/>
        </w:rPr>
        <w:t>第一节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新街口现代金融商务区</w:t>
      </w:r>
      <w:bookmarkEnd w:id="102"/>
    </w:p>
    <w:p w14:paraId="7D21EC45">
      <w:pPr>
        <w:spacing w:line="590" w:lineRule="exact"/>
        <w:ind w:firstLine="629"/>
        <w:rPr>
          <w:rFonts w:eastAsia="方正仿宋_GBK"/>
          <w:sz w:val="32"/>
          <w:szCs w:val="32"/>
        </w:rPr>
      </w:pPr>
      <w:r>
        <w:rPr>
          <w:rFonts w:hint="eastAsia" w:eastAsia="方正仿宋_GBK" w:cs="方正仿宋_GBK"/>
          <w:sz w:val="32"/>
          <w:szCs w:val="32"/>
        </w:rPr>
        <w:t>推进“一核三街区”布局，重点发展高端化及国际化服务业，打造长三角重要的国际商务商贸中心和现代金融服务中心，成为南京跻身区域性国际城市行列的现代商业名片。新街口高端商务核心区突出重大项目建设，打造高端载体；突出特色楼宇建设，引导产业集聚；突出产业转型，引导消费升级。通过楼宇提质、商贸转型、文旅商融合等手段，形成高品质的现代商贸娱乐休闲体验区和商贸、商务、金融、管理等众多服务功能企业聚集的高端商务集聚区，重塑“中华第一商圈”、“百年新街口”形象。洪武路</w:t>
      </w:r>
      <w:r>
        <w:rPr>
          <w:rFonts w:eastAsia="方正仿宋_GBK"/>
          <w:sz w:val="32"/>
          <w:szCs w:val="32"/>
        </w:rPr>
        <w:t>-</w:t>
      </w:r>
      <w:r>
        <w:rPr>
          <w:rFonts w:hint="eastAsia" w:eastAsia="方正仿宋_GBK" w:cs="方正仿宋_GBK"/>
          <w:sz w:val="32"/>
          <w:szCs w:val="32"/>
        </w:rPr>
        <w:t>中山南路金融街区依托现代金融总部项目，发挥金融桥梁作用，用好中心城区交通、信息、人群汇聚的网络优势，与产业领域开展深入对接和准确投放，加快新型金融业态培育和产业集聚，建设金融生态良好、金融创新活跃，具有现代化和国际化特征的泛长三角区域金融营运中心。太平南路特色商业街区合理布局城市功能空间、调整产业业态布局、唤醒文化内生价值，通过统筹规划空间模块，重塑文化内涵，调整产业业态，提升综合环境，设计文旅商动线等，打造文产交融、民国风貌鲜明的特色商业街区，形成贯穿新街口、夫子庙两大片区文旅商中轴线。莫愁路历史文化特色产业街区利用地铁</w:t>
      </w:r>
      <w:r>
        <w:rPr>
          <w:rFonts w:eastAsia="方正仿宋_GBK"/>
          <w:sz w:val="32"/>
          <w:szCs w:val="32"/>
        </w:rPr>
        <w:t>5</w:t>
      </w:r>
      <w:r>
        <w:rPr>
          <w:rFonts w:hint="eastAsia" w:eastAsia="方正仿宋_GBK" w:cs="方正仿宋_GBK"/>
          <w:sz w:val="32"/>
          <w:szCs w:val="32"/>
        </w:rPr>
        <w:t>号线的建设契机，加快沿线低端产业的淘汰，实现城市空间更新，产业重组，北端侧重养生保健、南端侧重朝天宫景区旅游配套。</w:t>
      </w:r>
    </w:p>
    <w:p w14:paraId="2E7DACA3">
      <w:pPr>
        <w:spacing w:line="590" w:lineRule="exact"/>
        <w:ind w:firstLine="629"/>
        <w:rPr>
          <w:rFonts w:eastAsia="方正仿宋_GBK"/>
          <w:sz w:val="32"/>
          <w:szCs w:val="32"/>
        </w:rPr>
      </w:pPr>
      <w:r>
        <w:rPr>
          <w:rFonts w:hint="eastAsia" w:eastAsia="方正仿宋_GBK" w:cs="方正仿宋_GBK"/>
          <w:sz w:val="32"/>
          <w:szCs w:val="32"/>
        </w:rPr>
        <w:t>到</w:t>
      </w:r>
      <w:r>
        <w:rPr>
          <w:rFonts w:eastAsia="方正仿宋_GBK"/>
          <w:sz w:val="32"/>
          <w:szCs w:val="32"/>
        </w:rPr>
        <w:t>2025</w:t>
      </w:r>
      <w:r>
        <w:rPr>
          <w:rFonts w:hint="eastAsia" w:eastAsia="方正仿宋_GBK" w:cs="方正仿宋_GBK"/>
          <w:sz w:val="32"/>
          <w:szCs w:val="32"/>
        </w:rPr>
        <w:t>年，板块现代服务业能级明显提升，高端服务业集聚度、总部经济集聚度达到国内领先、国际较高水平，五年累计完成固定资产投资</w:t>
      </w:r>
      <w:r>
        <w:rPr>
          <w:rFonts w:eastAsia="方正仿宋_GBK"/>
          <w:sz w:val="32"/>
          <w:szCs w:val="32"/>
        </w:rPr>
        <w:t>100</w:t>
      </w:r>
      <w:r>
        <w:rPr>
          <w:rFonts w:hint="eastAsia" w:eastAsia="方正仿宋_GBK" w:cs="方正仿宋_GBK"/>
          <w:sz w:val="32"/>
          <w:szCs w:val="32"/>
        </w:rPr>
        <w:t>亿元，限上企业社会消费品零售总额</w:t>
      </w:r>
      <w:r>
        <w:rPr>
          <w:rFonts w:eastAsia="方正仿宋_GBK"/>
          <w:sz w:val="32"/>
          <w:szCs w:val="32"/>
        </w:rPr>
        <w:t>500</w:t>
      </w:r>
      <w:r>
        <w:rPr>
          <w:rFonts w:hint="eastAsia" w:eastAsia="方正仿宋_GBK" w:cs="方正仿宋_GBK"/>
          <w:sz w:val="32"/>
          <w:szCs w:val="32"/>
        </w:rPr>
        <w:t>亿元，亿元税收楼宇数达</w:t>
      </w:r>
      <w:r>
        <w:rPr>
          <w:rFonts w:eastAsia="方正仿宋_GBK"/>
          <w:sz w:val="32"/>
          <w:szCs w:val="32"/>
        </w:rPr>
        <w:t>20</w:t>
      </w:r>
      <w:r>
        <w:rPr>
          <w:rFonts w:hint="eastAsia" w:eastAsia="方正仿宋_GBK" w:cs="方正仿宋_GBK"/>
          <w:sz w:val="32"/>
          <w:szCs w:val="32"/>
        </w:rPr>
        <w:t>幢。</w:t>
      </w:r>
    </w:p>
    <w:p w14:paraId="768BDBAD">
      <w:pPr>
        <w:pStyle w:val="5"/>
        <w:spacing w:after="200"/>
        <w:jc w:val="center"/>
        <w:rPr>
          <w:rFonts w:ascii="方正楷体_GBK" w:hAnsi="方正楷体_GBK" w:eastAsia="方正楷体_GBK"/>
          <w:b w:val="0"/>
          <w:bCs w:val="0"/>
        </w:rPr>
      </w:pPr>
      <w:bookmarkStart w:id="103" w:name="_Toc60466251"/>
      <w:r>
        <w:rPr>
          <w:rFonts w:hint="eastAsia" w:ascii="方正楷体_GBK" w:hAnsi="方正楷体_GBK" w:eastAsia="方正楷体_GBK" w:cs="方正楷体_GBK"/>
          <w:b w:val="0"/>
          <w:bCs w:val="0"/>
        </w:rPr>
        <w:t>第二节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老城南文旅商融合体验区</w:t>
      </w:r>
      <w:bookmarkEnd w:id="103"/>
    </w:p>
    <w:p w14:paraId="7020D250">
      <w:pPr>
        <w:spacing w:line="590" w:lineRule="exact"/>
        <w:ind w:firstLine="629"/>
        <w:rPr>
          <w:rFonts w:eastAsia="方正仿宋_GBK"/>
          <w:sz w:val="32"/>
          <w:szCs w:val="32"/>
        </w:rPr>
      </w:pPr>
      <w:r>
        <w:rPr>
          <w:rFonts w:hint="eastAsia" w:eastAsia="方正仿宋_GBK" w:cs="方正仿宋_GBK"/>
          <w:sz w:val="32"/>
          <w:szCs w:val="32"/>
        </w:rPr>
        <w:t>推进“一核五片区”布局，深入推进文旅商融合发展，打造彰显古城深厚文化底蕴、南京历史文化名城特质的国际性文化休闲旅游示范地、“全球游”、“全球购”目的地。夫子庙文化旅游核心展示区聚焦文创、文博特色产业定位，突出儒学和科举文化主轴，联通联动老门东和夫子庙节点，发展修学、文博等为代表的文化休闲旅游产业。门东城南记忆体验休闲片区规划布局三条营西食游宿、中营文化展演、明城墙下休闲娱乐带、张家衙小酒馆集群、箍桶巷沿线文创、城墙内侧新媒体短视频基地等六个功能区域，形成多元化文旅商业态分布格局。门西数字生活物联网产业片区以数字生活街区为定位，依托悦动新门西产业园，聚焦物联网产业龙头，建设门西物联网产业创新融合示范区，打造兼具南京创新名城和美丽古都两种特质的“秦淮硅巷”门西片区。门外历史展示与文创旅游片区梳理古越城、东晋、宋、明和近代等文化脉络，建成南京的礼仪门户和世界级的文旅景区，形成集中体现南京各个时代文化特质、展现城市发展历史的南京南大门客厅。朝天宫历史风貌与文化综合体验片区充分挖掘朝天宫“母城”、“冶城”文化，民俗和民族宗教特色，串联朝天宫官式古建筑群、甘熙宅第等资源，联通朝天宫</w:t>
      </w:r>
      <w:r>
        <w:rPr>
          <w:rFonts w:eastAsia="方正仿宋_GBK"/>
          <w:sz w:val="32"/>
          <w:szCs w:val="32"/>
        </w:rPr>
        <w:t>—</w:t>
      </w:r>
      <w:r>
        <w:rPr>
          <w:rFonts w:hint="eastAsia" w:eastAsia="方正仿宋_GBK" w:cs="方正仿宋_GBK"/>
          <w:sz w:val="32"/>
          <w:szCs w:val="32"/>
        </w:rPr>
        <w:t>夫子庙</w:t>
      </w:r>
      <w:r>
        <w:rPr>
          <w:rFonts w:eastAsia="方正仿宋_GBK"/>
          <w:sz w:val="32"/>
          <w:szCs w:val="32"/>
        </w:rPr>
        <w:t>—</w:t>
      </w:r>
      <w:r>
        <w:rPr>
          <w:rFonts w:hint="eastAsia" w:eastAsia="方正仿宋_GBK" w:cs="方正仿宋_GBK"/>
          <w:sz w:val="32"/>
          <w:szCs w:val="32"/>
        </w:rPr>
        <w:t>中华门游线，形成旅游文化片区。</w:t>
      </w:r>
    </w:p>
    <w:p w14:paraId="310BE823">
      <w:pPr>
        <w:spacing w:line="590" w:lineRule="exact"/>
        <w:ind w:firstLine="629"/>
        <w:rPr>
          <w:rFonts w:eastAsia="方正仿宋_GBK"/>
          <w:sz w:val="32"/>
          <w:szCs w:val="32"/>
        </w:rPr>
      </w:pPr>
      <w:r>
        <w:rPr>
          <w:rFonts w:hint="eastAsia" w:eastAsia="方正仿宋_GBK" w:cs="方正仿宋_GBK"/>
          <w:sz w:val="32"/>
          <w:szCs w:val="32"/>
        </w:rPr>
        <w:t>到</w:t>
      </w:r>
      <w:r>
        <w:rPr>
          <w:rFonts w:eastAsia="方正仿宋_GBK"/>
          <w:sz w:val="32"/>
          <w:szCs w:val="32"/>
        </w:rPr>
        <w:t>2025</w:t>
      </w:r>
      <w:r>
        <w:rPr>
          <w:rFonts w:hint="eastAsia" w:eastAsia="方正仿宋_GBK" w:cs="方正仿宋_GBK"/>
          <w:sz w:val="32"/>
          <w:szCs w:val="32"/>
        </w:rPr>
        <w:t>年，创成国家文化产业和旅游产业融合发展示范区、国家级夜间文旅消费集聚区，创成全国旅游标准化示范区、国家级文化产业示范园区。五年累计实现一般公共预算收入</w:t>
      </w:r>
      <w:r>
        <w:rPr>
          <w:rFonts w:eastAsia="方正仿宋_GBK"/>
          <w:sz w:val="32"/>
          <w:szCs w:val="32"/>
        </w:rPr>
        <w:t>4.1</w:t>
      </w:r>
      <w:r>
        <w:rPr>
          <w:rFonts w:hint="eastAsia" w:eastAsia="方正仿宋_GBK" w:cs="方正仿宋_GBK"/>
          <w:sz w:val="32"/>
          <w:szCs w:val="32"/>
        </w:rPr>
        <w:t>亿元，固定资产投资</w:t>
      </w:r>
      <w:r>
        <w:rPr>
          <w:rFonts w:eastAsia="方正仿宋_GBK"/>
          <w:sz w:val="32"/>
          <w:szCs w:val="32"/>
        </w:rPr>
        <w:t>140</w:t>
      </w:r>
      <w:r>
        <w:rPr>
          <w:rFonts w:hint="eastAsia" w:eastAsia="方正仿宋_GBK" w:cs="方正仿宋_GBK"/>
          <w:sz w:val="32"/>
          <w:szCs w:val="32"/>
        </w:rPr>
        <w:t>亿元；期末文化产业增加值年度增幅达</w:t>
      </w:r>
      <w:r>
        <w:rPr>
          <w:rFonts w:eastAsia="方正仿宋_GBK"/>
          <w:sz w:val="32"/>
          <w:szCs w:val="32"/>
        </w:rPr>
        <w:t>15%</w:t>
      </w:r>
      <w:r>
        <w:rPr>
          <w:rFonts w:hint="eastAsia" w:eastAsia="方正仿宋_GBK" w:cs="方正仿宋_GBK"/>
          <w:sz w:val="32"/>
          <w:szCs w:val="32"/>
        </w:rPr>
        <w:t>。</w:t>
      </w:r>
    </w:p>
    <w:p w14:paraId="55C323CD">
      <w:pPr>
        <w:pStyle w:val="5"/>
        <w:spacing w:after="200"/>
        <w:jc w:val="center"/>
        <w:rPr>
          <w:rFonts w:ascii="方正楷体_GBK" w:hAnsi="方正楷体_GBK" w:eastAsia="方正楷体_GBK"/>
          <w:b w:val="0"/>
          <w:bCs w:val="0"/>
        </w:rPr>
      </w:pPr>
      <w:bookmarkStart w:id="104" w:name="_Toc60466252"/>
      <w:r>
        <w:rPr>
          <w:rFonts w:hint="eastAsia" w:ascii="方正楷体_GBK" w:hAnsi="方正楷体_GBK" w:eastAsia="方正楷体_GBK" w:cs="方正楷体_GBK"/>
          <w:b w:val="0"/>
          <w:bCs w:val="0"/>
        </w:rPr>
        <w:t>第三节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东部高新技术产业示范区</w:t>
      </w:r>
      <w:bookmarkEnd w:id="104"/>
    </w:p>
    <w:p w14:paraId="295F7AAF">
      <w:pPr>
        <w:spacing w:line="590" w:lineRule="exact"/>
        <w:ind w:firstLine="629"/>
        <w:rPr>
          <w:rFonts w:eastAsia="方正仿宋_GBK"/>
          <w:sz w:val="32"/>
          <w:szCs w:val="32"/>
        </w:rPr>
      </w:pPr>
      <w:r>
        <w:rPr>
          <w:rFonts w:hint="eastAsia" w:eastAsia="方正仿宋_GBK" w:cs="方正仿宋_GBK"/>
          <w:sz w:val="32"/>
          <w:szCs w:val="32"/>
        </w:rPr>
        <w:t>推进“一核两组团”布局，发挥白下高新区核心枢纽平台辐射带动作用，实现资源汇聚、共享、分配和多维度支持，总体形成秦淮硅巷、核心区两大组团，建成南航秦淮创新湾区，建设南京创新名城建设的引领标杆和南京紫东地区高新产业集聚高地。突出白下高新核心区引领作用，深化“一区多园”改革，系统整合发展空间，强化南京高新区（秦淮园）品牌塑造和内涵提升，打造一批业内领先的科创品牌和产业地标，争创“全国一流、全省前列”的知名园区。加快构建核心区“一心、两带、四区”的载体空间格局，规划建设云创公园，形成运粮河设计产业带、永丰河创新文化带，重点发展以智能交通引领的云计算、大数据创新高地。放大秦淮硅巷示范效应，形成“一城一谷一带一片一镇多点”的空间发展结构，打造“</w:t>
      </w:r>
      <w:r>
        <w:rPr>
          <w:rFonts w:eastAsia="方正仿宋_GBK"/>
          <w:sz w:val="32"/>
          <w:szCs w:val="32"/>
        </w:rPr>
        <w:t>15</w:t>
      </w:r>
      <w:r>
        <w:rPr>
          <w:rFonts w:hint="eastAsia" w:eastAsia="方正仿宋_GBK" w:cs="方正仿宋_GBK"/>
          <w:sz w:val="32"/>
          <w:szCs w:val="32"/>
        </w:rPr>
        <w:t>分钟硅巷圈”，打造“无边界”的都市创新综合体。重点发展以芯片应用为引领，以航空航天技术研发为主导的产业体系。</w:t>
      </w:r>
    </w:p>
    <w:p w14:paraId="509CB33A">
      <w:pPr>
        <w:spacing w:line="590" w:lineRule="exact"/>
        <w:ind w:firstLine="629"/>
        <w:rPr>
          <w:rFonts w:eastAsia="方正仿宋_GBK"/>
          <w:sz w:val="32"/>
          <w:szCs w:val="32"/>
        </w:rPr>
      </w:pPr>
      <w:r>
        <w:rPr>
          <w:rFonts w:hint="eastAsia" w:eastAsia="方正仿宋_GBK" w:cs="方正仿宋_GBK"/>
          <w:sz w:val="32"/>
          <w:szCs w:val="32"/>
        </w:rPr>
        <w:t>到</w:t>
      </w:r>
      <w:r>
        <w:rPr>
          <w:rFonts w:eastAsia="方正仿宋_GBK"/>
          <w:sz w:val="32"/>
          <w:szCs w:val="32"/>
        </w:rPr>
        <w:t>2025</w:t>
      </w:r>
      <w:r>
        <w:rPr>
          <w:rFonts w:hint="eastAsia" w:eastAsia="方正仿宋_GBK" w:cs="方正仿宋_GBK"/>
          <w:sz w:val="32"/>
          <w:szCs w:val="32"/>
        </w:rPr>
        <w:t>年，完成公共技术平台共享中心搭建，省级车联网先导区建设初见成效。五年累计实现一般公共预算收入</w:t>
      </w:r>
      <w:r>
        <w:rPr>
          <w:rFonts w:eastAsia="方正仿宋_GBK"/>
          <w:sz w:val="32"/>
          <w:szCs w:val="32"/>
        </w:rPr>
        <w:t>53</w:t>
      </w:r>
      <w:r>
        <w:rPr>
          <w:rFonts w:hint="eastAsia" w:eastAsia="方正仿宋_GBK" w:cs="方正仿宋_GBK"/>
          <w:sz w:val="32"/>
          <w:szCs w:val="32"/>
        </w:rPr>
        <w:t>亿元，固定资产投资</w:t>
      </w:r>
      <w:r>
        <w:rPr>
          <w:rFonts w:eastAsia="方正仿宋_GBK"/>
          <w:sz w:val="32"/>
          <w:szCs w:val="32"/>
        </w:rPr>
        <w:t>419</w:t>
      </w:r>
      <w:r>
        <w:rPr>
          <w:rFonts w:hint="eastAsia" w:eastAsia="方正仿宋_GBK" w:cs="方正仿宋_GBK"/>
          <w:sz w:val="32"/>
          <w:szCs w:val="32"/>
        </w:rPr>
        <w:t>亿元，社会消费品零售总额</w:t>
      </w:r>
      <w:r>
        <w:rPr>
          <w:rFonts w:eastAsia="方正仿宋_GBK"/>
          <w:sz w:val="32"/>
          <w:szCs w:val="32"/>
        </w:rPr>
        <w:t>8.5</w:t>
      </w:r>
      <w:r>
        <w:rPr>
          <w:rFonts w:hint="eastAsia" w:eastAsia="方正仿宋_GBK" w:cs="方正仿宋_GBK"/>
          <w:sz w:val="32"/>
          <w:szCs w:val="32"/>
        </w:rPr>
        <w:t>亿元，单位面积经济贡献率（税收</w:t>
      </w:r>
      <w:r>
        <w:rPr>
          <w:rFonts w:eastAsia="方正仿宋_GBK"/>
          <w:sz w:val="32"/>
          <w:szCs w:val="32"/>
        </w:rPr>
        <w:t>/</w:t>
      </w:r>
      <w:r>
        <w:rPr>
          <w:rFonts w:hint="eastAsia" w:eastAsia="方正仿宋_GBK" w:cs="方正仿宋_GBK"/>
          <w:sz w:val="32"/>
          <w:szCs w:val="32"/>
        </w:rPr>
        <w:t>面积）是</w:t>
      </w:r>
      <w:r>
        <w:rPr>
          <w:rFonts w:eastAsia="方正仿宋_GBK"/>
          <w:sz w:val="32"/>
          <w:szCs w:val="32"/>
        </w:rPr>
        <w:t>15</w:t>
      </w:r>
      <w:r>
        <w:rPr>
          <w:rFonts w:hint="eastAsia" w:eastAsia="方正仿宋_GBK" w:cs="方正仿宋_GBK"/>
          <w:sz w:val="32"/>
          <w:szCs w:val="32"/>
        </w:rPr>
        <w:t>亿</w:t>
      </w:r>
      <w:r>
        <w:rPr>
          <w:rFonts w:eastAsia="方正仿宋_GBK"/>
          <w:sz w:val="32"/>
          <w:szCs w:val="32"/>
        </w:rPr>
        <w:t>/</w:t>
      </w:r>
      <w:r>
        <w:rPr>
          <w:rFonts w:hint="eastAsia" w:eastAsia="方正仿宋_GBK" w:cs="方正仿宋_GBK"/>
          <w:sz w:val="32"/>
          <w:szCs w:val="32"/>
        </w:rPr>
        <w:t>平方公里，新增新型研发机构</w:t>
      </w:r>
      <w:r>
        <w:rPr>
          <w:rFonts w:eastAsia="方正仿宋_GBK"/>
          <w:sz w:val="32"/>
          <w:szCs w:val="32"/>
        </w:rPr>
        <w:t>10</w:t>
      </w:r>
      <w:r>
        <w:rPr>
          <w:rFonts w:hint="eastAsia" w:eastAsia="方正仿宋_GBK" w:cs="方正仿宋_GBK"/>
          <w:sz w:val="32"/>
          <w:szCs w:val="32"/>
        </w:rPr>
        <w:t>家，引进和建设实验室、工程中心、技术中心、检测中心等平台</w:t>
      </w:r>
      <w:r>
        <w:rPr>
          <w:rFonts w:eastAsia="方正仿宋_GBK"/>
          <w:sz w:val="32"/>
          <w:szCs w:val="32"/>
        </w:rPr>
        <w:t>30</w:t>
      </w:r>
      <w:r>
        <w:rPr>
          <w:rFonts w:hint="eastAsia" w:eastAsia="方正仿宋_GBK" w:cs="方正仿宋_GBK"/>
          <w:sz w:val="32"/>
          <w:szCs w:val="32"/>
        </w:rPr>
        <w:t>个。新培育高企</w:t>
      </w:r>
      <w:r>
        <w:rPr>
          <w:rFonts w:eastAsia="方正仿宋_GBK"/>
          <w:sz w:val="32"/>
          <w:szCs w:val="32"/>
        </w:rPr>
        <w:t>350</w:t>
      </w:r>
      <w:r>
        <w:rPr>
          <w:rFonts w:hint="eastAsia" w:eastAsia="方正仿宋_GBK" w:cs="方正仿宋_GBK"/>
          <w:sz w:val="32"/>
          <w:szCs w:val="32"/>
        </w:rPr>
        <w:t>家，累计完成“培育独角兽企业”、“瞪羚企业”、培育各类上市企业达</w:t>
      </w:r>
      <w:r>
        <w:rPr>
          <w:rFonts w:eastAsia="方正仿宋_GBK"/>
          <w:sz w:val="32"/>
          <w:szCs w:val="32"/>
        </w:rPr>
        <w:t>13</w:t>
      </w:r>
      <w:r>
        <w:rPr>
          <w:rFonts w:hint="eastAsia" w:eastAsia="方正仿宋_GBK" w:cs="方正仿宋_GBK"/>
          <w:sz w:val="32"/>
          <w:szCs w:val="32"/>
        </w:rPr>
        <w:t>家。</w:t>
      </w:r>
    </w:p>
    <w:p w14:paraId="315EE303">
      <w:pPr>
        <w:pStyle w:val="2"/>
      </w:pPr>
    </w:p>
    <w:p w14:paraId="7CEE7AA5">
      <w:pPr>
        <w:pStyle w:val="5"/>
        <w:spacing w:before="240" w:after="200" w:line="240" w:lineRule="auto"/>
        <w:jc w:val="center"/>
        <w:rPr>
          <w:rFonts w:ascii="方正楷体_GBK" w:hAnsi="方正楷体_GBK" w:eastAsia="方正楷体_GBK"/>
          <w:b w:val="0"/>
          <w:bCs w:val="0"/>
        </w:rPr>
      </w:pPr>
      <w:bookmarkStart w:id="105" w:name="_Toc60466253"/>
      <w:r>
        <w:rPr>
          <w:rFonts w:hint="eastAsia" w:ascii="方正楷体_GBK" w:hAnsi="方正楷体_GBK" w:eastAsia="方正楷体_GBK" w:cs="方正楷体_GBK"/>
          <w:b w:val="0"/>
          <w:bCs w:val="0"/>
        </w:rPr>
        <w:t>第四节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南部新城超级总部基地</w:t>
      </w:r>
      <w:bookmarkEnd w:id="105"/>
    </w:p>
    <w:p w14:paraId="1AE4F058">
      <w:pPr>
        <w:spacing w:line="590" w:lineRule="exact"/>
        <w:ind w:firstLine="629"/>
        <w:rPr>
          <w:rFonts w:eastAsia="方正仿宋_GBK"/>
          <w:sz w:val="32"/>
          <w:szCs w:val="32"/>
        </w:rPr>
      </w:pPr>
      <w:r>
        <w:rPr>
          <w:rFonts w:hint="eastAsia" w:eastAsia="方正仿宋_GBK" w:cs="方正仿宋_GBK"/>
          <w:sz w:val="32"/>
          <w:szCs w:val="32"/>
        </w:rPr>
        <w:t>明确“长三角中央活力区，都市圈超总集聚区、现代化主城新中心”的目标定位，推进超级总部集聚和国际交流合作，推动绿色智慧发展和主城有机更新，争取在现代化新城高质量开发建设上走在前列。将跑道公园打造成底蕴深厚、独特唯一的城市魅力客厅，形成全球影响卓越的文化</w:t>
      </w:r>
      <w:r>
        <w:rPr>
          <w:rFonts w:eastAsia="方正仿宋_GBK"/>
          <w:sz w:val="32"/>
          <w:szCs w:val="32"/>
        </w:rPr>
        <w:t>IP</w:t>
      </w:r>
      <w:r>
        <w:rPr>
          <w:rFonts w:hint="eastAsia" w:eastAsia="方正仿宋_GBK" w:cs="方正仿宋_GBK"/>
          <w:sz w:val="32"/>
          <w:szCs w:val="32"/>
        </w:rPr>
        <w:t>，塑造国际文化休闲旅游目的地，构建文旅商融合的时尚消费新商圈，打造具有国际范儿的文创城、国际化未来社区和宜居宜业宜游的</w:t>
      </w:r>
      <w:r>
        <w:rPr>
          <w:rFonts w:eastAsia="方正仿宋_GBK"/>
          <w:sz w:val="32"/>
          <w:szCs w:val="32"/>
        </w:rPr>
        <w:t>24</w:t>
      </w:r>
      <w:r>
        <w:rPr>
          <w:rFonts w:hint="eastAsia" w:eastAsia="方正仿宋_GBK" w:cs="方正仿宋_GBK"/>
          <w:sz w:val="32"/>
          <w:szCs w:val="32"/>
        </w:rPr>
        <w:t>小时活力区。依托高铁枢纽经济区的集聚力，汇聚长三角、全国、全球高端要素，构建现代服务业产业生态圈。放大城市门户的独特区位优势和高铁枢纽经济区的集聚力，构建现代服务业产业生态圈和精准定制化的特色产业地标，打造高端总部企业进入南京的首选地、上市公司的集聚地、高成长性企业的成功地。深化低碳智慧理念技术运用，促进城市服务功能完善，建设安全可靠、多元融合的主城有机更新的经典样板，智慧共生、人性灵动的城市建设的集成典范；以人工智能、大数据、物联网、区块链等现代化技术，赋能城市精细化智慧化管理，加快推动城市治理体系和治理能力现代化，着力提升城市能级和核心竞争力。</w:t>
      </w:r>
    </w:p>
    <w:p w14:paraId="740134AA">
      <w:pPr>
        <w:spacing w:line="590" w:lineRule="exact"/>
        <w:ind w:firstLine="629"/>
        <w:rPr>
          <w:rFonts w:eastAsia="方正仿宋_GBK"/>
          <w:sz w:val="32"/>
          <w:szCs w:val="32"/>
        </w:rPr>
      </w:pPr>
      <w:r>
        <w:rPr>
          <w:rFonts w:hint="eastAsia" w:eastAsia="方正仿宋_GBK" w:cs="方正仿宋_GBK"/>
          <w:sz w:val="32"/>
          <w:szCs w:val="32"/>
        </w:rPr>
        <w:t>到</w:t>
      </w:r>
      <w:r>
        <w:rPr>
          <w:rFonts w:eastAsia="方正仿宋_GBK"/>
          <w:sz w:val="32"/>
          <w:szCs w:val="32"/>
        </w:rPr>
        <w:t>2025</w:t>
      </w:r>
      <w:r>
        <w:rPr>
          <w:rFonts w:hint="eastAsia" w:eastAsia="方正仿宋_GBK" w:cs="方正仿宋_GBK"/>
          <w:sz w:val="32"/>
          <w:szCs w:val="32"/>
        </w:rPr>
        <w:t>年，在人居环境建设、主导产业发展、绿色生态示范、智慧城市建设、公共服务配套、建设运营管理等方面达到新局面。慢行路网密度达到</w:t>
      </w:r>
      <w:r>
        <w:rPr>
          <w:rFonts w:eastAsia="方正仿宋_GBK"/>
          <w:sz w:val="32"/>
          <w:szCs w:val="32"/>
        </w:rPr>
        <w:t>7.5</w:t>
      </w:r>
      <w:r>
        <w:rPr>
          <w:rFonts w:hint="eastAsia" w:eastAsia="方正仿宋_GBK" w:cs="方正仿宋_GBK"/>
          <w:sz w:val="32"/>
          <w:szCs w:val="32"/>
        </w:rPr>
        <w:t>公里</w:t>
      </w:r>
      <w:r>
        <w:rPr>
          <w:rFonts w:eastAsia="方正仿宋_GBK"/>
          <w:sz w:val="32"/>
          <w:szCs w:val="32"/>
        </w:rPr>
        <w:t>/</w:t>
      </w:r>
      <w:r>
        <w:rPr>
          <w:rFonts w:hint="eastAsia" w:eastAsia="方正仿宋_GBK" w:cs="方正仿宋_GBK"/>
          <w:sz w:val="32"/>
          <w:szCs w:val="32"/>
        </w:rPr>
        <w:t>平方公里，人均公共绿地面积达到</w:t>
      </w:r>
      <w:r>
        <w:rPr>
          <w:rFonts w:eastAsia="方正仿宋_GBK"/>
          <w:sz w:val="32"/>
          <w:szCs w:val="32"/>
        </w:rPr>
        <w:t>9.8</w:t>
      </w:r>
      <w:r>
        <w:rPr>
          <w:rFonts w:hint="eastAsia" w:eastAsia="方正仿宋_GBK" w:cs="方正仿宋_GBK"/>
          <w:sz w:val="32"/>
          <w:szCs w:val="32"/>
        </w:rPr>
        <w:t>平方米，海绵城市建设实现全域覆盖，可再生能源使用率达到</w:t>
      </w:r>
      <w:r>
        <w:rPr>
          <w:rFonts w:eastAsia="方正仿宋_GBK"/>
          <w:sz w:val="32"/>
          <w:szCs w:val="32"/>
        </w:rPr>
        <w:t>12%</w:t>
      </w:r>
      <w:r>
        <w:rPr>
          <w:rFonts w:hint="eastAsia" w:eastAsia="方正仿宋_GBK" w:cs="方正仿宋_GBK"/>
          <w:sz w:val="32"/>
          <w:szCs w:val="32"/>
        </w:rPr>
        <w:t>。实现</w:t>
      </w:r>
      <w:r>
        <w:rPr>
          <w:rFonts w:eastAsia="方正仿宋_GBK"/>
          <w:sz w:val="32"/>
          <w:szCs w:val="32"/>
        </w:rPr>
        <w:t>5G</w:t>
      </w:r>
      <w:r>
        <w:rPr>
          <w:rFonts w:hint="eastAsia" w:eastAsia="方正仿宋_GBK" w:cs="方正仿宋_GBK"/>
          <w:sz w:val="32"/>
          <w:szCs w:val="32"/>
        </w:rPr>
        <w:t>网络全域覆盖，基础设施智慧化水平超</w:t>
      </w:r>
      <w:r>
        <w:rPr>
          <w:rFonts w:eastAsia="方正仿宋_GBK"/>
          <w:sz w:val="32"/>
          <w:szCs w:val="32"/>
        </w:rPr>
        <w:t>80%</w:t>
      </w:r>
      <w:r>
        <w:rPr>
          <w:rFonts w:hint="eastAsia" w:eastAsia="方正仿宋_GBK" w:cs="方正仿宋_GBK"/>
          <w:sz w:val="32"/>
          <w:szCs w:val="32"/>
        </w:rPr>
        <w:t>。引进各类企业总部机构</w:t>
      </w:r>
      <w:r>
        <w:rPr>
          <w:rFonts w:eastAsia="方正仿宋_GBK"/>
          <w:sz w:val="32"/>
          <w:szCs w:val="32"/>
        </w:rPr>
        <w:t>40</w:t>
      </w:r>
      <w:r>
        <w:rPr>
          <w:rFonts w:hint="eastAsia" w:eastAsia="方正仿宋_GBK" w:cs="方正仿宋_GBK"/>
          <w:sz w:val="32"/>
          <w:szCs w:val="32"/>
        </w:rPr>
        <w:t>家，其中超级总部项目</w:t>
      </w:r>
      <w:r>
        <w:rPr>
          <w:rFonts w:eastAsia="方正仿宋_GBK"/>
          <w:sz w:val="32"/>
          <w:szCs w:val="32"/>
        </w:rPr>
        <w:t>20</w:t>
      </w:r>
      <w:r>
        <w:rPr>
          <w:rFonts w:hint="eastAsia" w:eastAsia="方正仿宋_GBK" w:cs="方正仿宋_GBK"/>
          <w:sz w:val="32"/>
          <w:szCs w:val="32"/>
        </w:rPr>
        <w:t>个，打造总部楼宇</w:t>
      </w:r>
      <w:r>
        <w:rPr>
          <w:rFonts w:eastAsia="方正仿宋_GBK"/>
          <w:sz w:val="32"/>
          <w:szCs w:val="32"/>
        </w:rPr>
        <w:t>5</w:t>
      </w:r>
      <w:r>
        <w:rPr>
          <w:rFonts w:hint="eastAsia" w:eastAsia="方正仿宋_GBK" w:cs="方正仿宋_GBK"/>
          <w:sz w:val="32"/>
          <w:szCs w:val="32"/>
        </w:rPr>
        <w:t>栋，每平方公里产出力争达</w:t>
      </w:r>
      <w:r>
        <w:rPr>
          <w:rFonts w:eastAsia="方正仿宋_GBK"/>
          <w:sz w:val="32"/>
          <w:szCs w:val="32"/>
        </w:rPr>
        <w:t>50</w:t>
      </w:r>
      <w:r>
        <w:rPr>
          <w:rFonts w:hint="eastAsia" w:eastAsia="方正仿宋_GBK" w:cs="方正仿宋_GBK"/>
          <w:sz w:val="32"/>
          <w:szCs w:val="32"/>
        </w:rPr>
        <w:t>亿元。</w:t>
      </w:r>
    </w:p>
    <w:p w14:paraId="59E1BE41">
      <w:pPr>
        <w:pStyle w:val="4"/>
        <w:keepNext w:val="0"/>
        <w:keepLines w:val="0"/>
        <w:spacing w:beforeLines="150" w:afterLines="150" w:line="520" w:lineRule="exact"/>
        <w:jc w:val="center"/>
        <w:rPr>
          <w:rFonts w:ascii="方正黑体_GBK" w:hAnsi="方正黑体_GBK" w:eastAsia="方正黑体_GBK" w:cs="Times New Roman"/>
          <w:b w:val="0"/>
          <w:bCs w:val="0"/>
        </w:rPr>
      </w:pPr>
      <w:bookmarkStart w:id="106" w:name="_Toc60466254"/>
      <w:r>
        <w:rPr>
          <w:rFonts w:hint="eastAsia" w:ascii="方正黑体_GBK" w:hAnsi="方正黑体_GBK" w:eastAsia="方正黑体_GBK" w:cs="方正黑体_GBK"/>
          <w:b w:val="0"/>
          <w:bCs w:val="0"/>
        </w:rPr>
        <w:t>第十三章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打造沿秦淮河产城融合水岸示范带</w:t>
      </w:r>
      <w:bookmarkEnd w:id="106"/>
    </w:p>
    <w:bookmarkEnd w:id="76"/>
    <w:p w14:paraId="5B3BD9D5">
      <w:pPr>
        <w:pStyle w:val="5"/>
        <w:spacing w:before="280" w:after="240"/>
        <w:jc w:val="center"/>
        <w:rPr>
          <w:rFonts w:ascii="方正楷体_GBK" w:hAnsi="方正楷体_GBK" w:eastAsia="方正楷体_GBK"/>
          <w:b w:val="0"/>
          <w:bCs w:val="0"/>
        </w:rPr>
      </w:pPr>
      <w:bookmarkStart w:id="107" w:name="_Toc60466255"/>
      <w:r>
        <w:rPr>
          <w:rFonts w:hint="eastAsia" w:ascii="方正楷体_GBK" w:hAnsi="方正楷体_GBK" w:eastAsia="方正楷体_GBK" w:cs="方正楷体_GBK"/>
          <w:b w:val="0"/>
          <w:bCs w:val="0"/>
        </w:rPr>
        <w:t>第一节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提升沿内秦淮河段落文旅商融合带</w:t>
      </w:r>
      <w:bookmarkEnd w:id="107"/>
    </w:p>
    <w:p w14:paraId="580249C0">
      <w:pPr>
        <w:spacing w:line="590" w:lineRule="exact"/>
        <w:ind w:firstLine="629"/>
        <w:rPr>
          <w:rFonts w:eastAsia="方正仿宋_GBK"/>
          <w:sz w:val="32"/>
          <w:szCs w:val="32"/>
        </w:rPr>
      </w:pPr>
      <w:r>
        <w:rPr>
          <w:rFonts w:hint="eastAsia" w:eastAsia="方正仿宋_GBK" w:cs="方正仿宋_GBK"/>
          <w:sz w:val="32"/>
          <w:szCs w:val="32"/>
        </w:rPr>
        <w:t>聚焦文旅商产业融合和体验内涵升级，进一步挖掘展示沿岸线文化内涵，连贯畅通沿河通道，设置水上巴士站点，整合盘活文旅商资源，增强水岸互动的丰富度、感染力，扩大在国内外的知名度和影响力，发挥“最南京”历史文化窗口的展示引领作用和文旅商融合转型示范作用。打造文化精华传承和历史风貌展示的体验窗口，文旅商融合发展的特色产业带，以及水岸互动场景丰富的“十里秦淮”</w:t>
      </w:r>
      <w:r>
        <w:rPr>
          <w:rFonts w:eastAsia="方正仿宋_GBK"/>
          <w:sz w:val="32"/>
          <w:szCs w:val="32"/>
        </w:rPr>
        <w:t>IP</w:t>
      </w:r>
      <w:r>
        <w:rPr>
          <w:rFonts w:hint="eastAsia" w:eastAsia="方正仿宋_GBK" w:cs="方正仿宋_GBK"/>
          <w:sz w:val="32"/>
          <w:szCs w:val="32"/>
        </w:rPr>
        <w:t>。</w:t>
      </w:r>
    </w:p>
    <w:p w14:paraId="3FDBDC4B">
      <w:pPr>
        <w:spacing w:line="520" w:lineRule="exact"/>
        <w:ind w:firstLine="640" w:firstLineChars="200"/>
        <w:rPr>
          <w:rFonts w:eastAsia="方正仿宋_GBK"/>
          <w:sz w:val="32"/>
          <w:szCs w:val="32"/>
        </w:rPr>
      </w:pPr>
    </w:p>
    <w:p w14:paraId="5A254A37">
      <w:pPr>
        <w:spacing w:line="520" w:lineRule="exact"/>
        <w:ind w:firstLine="420" w:firstLineChars="200"/>
        <w:rPr>
          <w:rFonts w:eastAsia="方正仿宋_GBK"/>
          <w:sz w:val="32"/>
          <w:szCs w:val="32"/>
        </w:rPr>
      </w:pPr>
      <w:r>
        <w:drawing>
          <wp:anchor distT="0" distB="0" distL="114300" distR="114300" simplePos="0" relativeHeight="251660288" behindDoc="0" locked="0" layoutInCell="1" allowOverlap="1">
            <wp:simplePos x="0" y="0"/>
            <wp:positionH relativeFrom="column">
              <wp:posOffset>338455</wp:posOffset>
            </wp:positionH>
            <wp:positionV relativeFrom="paragraph">
              <wp:posOffset>-372745</wp:posOffset>
            </wp:positionV>
            <wp:extent cx="4820285" cy="2712720"/>
            <wp:effectExtent l="0" t="0" r="18415" b="11430"/>
            <wp:wrapNone/>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12"/>
                    <a:stretch>
                      <a:fillRect/>
                    </a:stretch>
                  </pic:blipFill>
                  <pic:spPr>
                    <a:xfrm>
                      <a:off x="0" y="0"/>
                      <a:ext cx="4820285" cy="2712720"/>
                    </a:xfrm>
                    <a:prstGeom prst="rect">
                      <a:avLst/>
                    </a:prstGeom>
                    <a:noFill/>
                    <a:ln>
                      <a:noFill/>
                    </a:ln>
                  </pic:spPr>
                </pic:pic>
              </a:graphicData>
            </a:graphic>
          </wp:anchor>
        </w:drawing>
      </w:r>
    </w:p>
    <w:p w14:paraId="32B9596A">
      <w:pPr>
        <w:spacing w:line="520" w:lineRule="exact"/>
        <w:ind w:firstLine="640" w:firstLineChars="200"/>
        <w:rPr>
          <w:rFonts w:eastAsia="方正仿宋_GBK"/>
          <w:sz w:val="32"/>
          <w:szCs w:val="32"/>
        </w:rPr>
      </w:pPr>
    </w:p>
    <w:p w14:paraId="2AD778A8">
      <w:pPr>
        <w:spacing w:line="520" w:lineRule="exact"/>
        <w:ind w:firstLine="640" w:firstLineChars="200"/>
        <w:rPr>
          <w:rFonts w:eastAsia="方正仿宋_GBK"/>
          <w:sz w:val="32"/>
          <w:szCs w:val="32"/>
        </w:rPr>
      </w:pPr>
    </w:p>
    <w:p w14:paraId="6A49A754">
      <w:pPr>
        <w:spacing w:line="520" w:lineRule="exact"/>
        <w:ind w:firstLine="640" w:firstLineChars="200"/>
        <w:rPr>
          <w:rFonts w:eastAsia="方正仿宋_GBK"/>
          <w:sz w:val="32"/>
          <w:szCs w:val="32"/>
        </w:rPr>
      </w:pPr>
    </w:p>
    <w:p w14:paraId="73ADCDC8"/>
    <w:p w14:paraId="3EED48CB"/>
    <w:p w14:paraId="3A14428A"/>
    <w:p w14:paraId="12CE1D09">
      <w:pPr>
        <w:pStyle w:val="5"/>
        <w:spacing w:after="200"/>
        <w:jc w:val="center"/>
        <w:rPr>
          <w:rFonts w:ascii="方正楷体_GBK" w:hAnsi="方正楷体_GBK" w:eastAsia="方正楷体_GBK"/>
          <w:b w:val="0"/>
          <w:bCs w:val="0"/>
        </w:rPr>
      </w:pPr>
      <w:bookmarkStart w:id="108" w:name="_Toc60466256"/>
      <w:r>
        <w:rPr>
          <w:rFonts w:hint="eastAsia" w:ascii="方正楷体_GBK" w:hAnsi="方正楷体_GBK" w:eastAsia="方正楷体_GBK" w:cs="方正楷体_GBK"/>
          <w:b w:val="0"/>
          <w:bCs w:val="0"/>
        </w:rPr>
        <w:t>第二节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打造沿外秦淮河段落“三生”复合空间水岸客厅</w:t>
      </w:r>
      <w:bookmarkEnd w:id="108"/>
    </w:p>
    <w:p w14:paraId="12991167">
      <w:pPr>
        <w:spacing w:line="590" w:lineRule="exact"/>
        <w:ind w:firstLine="629"/>
        <w:rPr>
          <w:rFonts w:eastAsia="方正仿宋_GBK"/>
          <w:sz w:val="32"/>
          <w:szCs w:val="32"/>
        </w:rPr>
      </w:pPr>
      <w:r>
        <w:rPr>
          <w:rFonts w:hint="eastAsia" w:eastAsia="方正仿宋_GBK" w:cs="方正仿宋_GBK"/>
          <w:sz w:val="32"/>
          <w:szCs w:val="32"/>
        </w:rPr>
        <w:t>聚焦科技创新创业与滨水生态空间打造的互动互融，凸显秦淮独有的水形态、水文化、水特色，打造老城、新城融合共生的特色空间载体。全面梳理沿河土地资源，搭建“水岸大数据平台”和项目储备库，实现现状地块数据动态化管理，按照成熟度分段开发。提升城市小微水体管理改造水平，深化河长制工作建设，逐步打造“河长制主题公园”。贯通沿河步道，布局市民公共开放空间和生活性服务产业配套，形成沿水岸产业公园群，加强水系交融互动。鼓励实施并推广月牙湖水上运动、龙舟赛、赛艇等水上群众文化娱乐项目，造节造势，扩大水岸经济社会发展影响力。打造以滨水空间互动为主要目标的都市休闲带，以生态保护修复为前提的沿河绿色廊道，以特色产业串联带动的“三生”（生产、生活、生态）复合空间水岸展示示范带。</w:t>
      </w:r>
    </w:p>
    <w:p w14:paraId="094DB3E6">
      <w:pPr>
        <w:pStyle w:val="2"/>
      </w:pPr>
    </w:p>
    <w:p w14:paraId="2CF32AA7">
      <w:pPr>
        <w:spacing w:line="520" w:lineRule="exact"/>
        <w:ind w:firstLine="420" w:firstLineChars="200"/>
        <w:rPr>
          <w:rFonts w:eastAsia="华文仿宋"/>
          <w:sz w:val="32"/>
          <w:szCs w:val="32"/>
        </w:rPr>
      </w:pPr>
      <w:r>
        <w:drawing>
          <wp:anchor distT="0" distB="0" distL="114300" distR="114300" simplePos="0" relativeHeight="251659264" behindDoc="0" locked="0" layoutInCell="1" allowOverlap="1">
            <wp:simplePos x="0" y="0"/>
            <wp:positionH relativeFrom="column">
              <wp:posOffset>219075</wp:posOffset>
            </wp:positionH>
            <wp:positionV relativeFrom="paragraph">
              <wp:posOffset>-98425</wp:posOffset>
            </wp:positionV>
            <wp:extent cx="4881880" cy="2896235"/>
            <wp:effectExtent l="0" t="0" r="13970" b="1841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4881880" cy="2896235"/>
                    </a:xfrm>
                    <a:prstGeom prst="rect">
                      <a:avLst/>
                    </a:prstGeom>
                    <a:noFill/>
                    <a:ln>
                      <a:noFill/>
                    </a:ln>
                  </pic:spPr>
                </pic:pic>
              </a:graphicData>
            </a:graphic>
          </wp:anchor>
        </w:drawing>
      </w:r>
    </w:p>
    <w:p w14:paraId="631380C2">
      <w:pPr>
        <w:spacing w:line="520" w:lineRule="exact"/>
        <w:ind w:firstLine="640" w:firstLineChars="200"/>
        <w:rPr>
          <w:rFonts w:eastAsia="华文仿宋"/>
          <w:sz w:val="32"/>
          <w:szCs w:val="32"/>
        </w:rPr>
      </w:pPr>
    </w:p>
    <w:p w14:paraId="3465A05A">
      <w:pPr>
        <w:pStyle w:val="2"/>
        <w:jc w:val="center"/>
        <w:rPr>
          <w:sz w:val="32"/>
          <w:szCs w:val="32"/>
        </w:rPr>
      </w:pPr>
    </w:p>
    <w:p w14:paraId="226772AB"/>
    <w:p w14:paraId="17266B36">
      <w:pPr>
        <w:pStyle w:val="2"/>
      </w:pPr>
    </w:p>
    <w:p w14:paraId="1E1089FD">
      <w:pPr>
        <w:pStyle w:val="2"/>
      </w:pPr>
    </w:p>
    <w:p w14:paraId="069CDEAE"/>
    <w:p w14:paraId="69C21264"/>
    <w:p w14:paraId="093545BA"/>
    <w:p w14:paraId="5BE727D0"/>
    <w:p w14:paraId="187D5BA3"/>
    <w:p w14:paraId="228CE1DD"/>
    <w:p w14:paraId="74D51F6A"/>
    <w:p w14:paraId="075C6899">
      <w:pPr>
        <w:pStyle w:val="3"/>
        <w:keepNext w:val="0"/>
        <w:keepLines w:val="0"/>
        <w:spacing w:before="0" w:after="0" w:line="700" w:lineRule="exact"/>
        <w:jc w:val="center"/>
        <w:rPr>
          <w:rFonts w:ascii="方正小标宋_GBK" w:eastAsia="方正小标宋_GBK"/>
          <w:b w:val="0"/>
          <w:bCs w:val="0"/>
        </w:rPr>
      </w:pPr>
      <w:bookmarkStart w:id="109" w:name="_Toc60466257"/>
      <w:r>
        <w:rPr>
          <w:rFonts w:hint="eastAsia" w:ascii="方正小标宋_GBK" w:eastAsia="方正小标宋_GBK" w:cs="方正小标宋_GBK"/>
          <w:b w:val="0"/>
          <w:bCs w:val="0"/>
        </w:rPr>
        <w:t>第五篇</w:t>
      </w:r>
      <w:r>
        <w:rPr>
          <w:rFonts w:ascii="方正小标宋_GBK" w:eastAsia="方正小标宋_GBK" w:cs="方正小标宋_GBK"/>
          <w:b w:val="0"/>
          <w:bCs w:val="0"/>
        </w:rPr>
        <w:t xml:space="preserve"> </w:t>
      </w:r>
      <w:r>
        <w:rPr>
          <w:rFonts w:hint="eastAsia" w:ascii="方正小标宋_GBK" w:eastAsia="方正小标宋_GBK" w:cs="方正小标宋_GBK"/>
          <w:b w:val="0"/>
          <w:bCs w:val="0"/>
        </w:rPr>
        <w:t>突出历史文化传承，协同文旅商创发展，展现秦淮风雅魅力新内涵</w:t>
      </w:r>
      <w:bookmarkEnd w:id="109"/>
    </w:p>
    <w:p w14:paraId="485219E6"/>
    <w:p w14:paraId="5D6586CF">
      <w:pPr>
        <w:pStyle w:val="2"/>
      </w:pPr>
    </w:p>
    <w:p w14:paraId="0775C98E">
      <w:pPr>
        <w:spacing w:line="590" w:lineRule="exact"/>
        <w:ind w:firstLine="629"/>
        <w:rPr>
          <w:rFonts w:eastAsia="方正仿宋_GBK"/>
          <w:sz w:val="32"/>
          <w:szCs w:val="32"/>
        </w:rPr>
      </w:pPr>
      <w:r>
        <w:rPr>
          <w:rFonts w:hint="eastAsia" w:eastAsia="方正仿宋_GBK" w:cs="方正仿宋_GBK"/>
          <w:sz w:val="32"/>
          <w:szCs w:val="32"/>
        </w:rPr>
        <w:t>深度挖掘秦淮文化基因，激发文旅商融合发展潜力，打造“风雅秦淮”品牌体系，塑造面向世界的秦淮底色、文化标签和大</w:t>
      </w:r>
      <w:r>
        <w:rPr>
          <w:rFonts w:eastAsia="方正仿宋_GBK"/>
          <w:sz w:val="32"/>
          <w:szCs w:val="32"/>
        </w:rPr>
        <w:t>IP</w:t>
      </w:r>
      <w:r>
        <w:rPr>
          <w:rFonts w:hint="eastAsia" w:eastAsia="方正仿宋_GBK" w:cs="方正仿宋_GBK"/>
          <w:sz w:val="32"/>
          <w:szCs w:val="32"/>
        </w:rPr>
        <w:t>。推进“文化强区”建设，坚定文化自信，坚持社会主义核心价值观引领，以满足人民群众多样化多层次多方位的精神文化需求为导向，提升公民文化素养和社会文明程度。</w:t>
      </w:r>
    </w:p>
    <w:p w14:paraId="2E62E599">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110" w:name="_Toc60466258"/>
      <w:r>
        <w:rPr>
          <w:rFonts w:hint="eastAsia" w:ascii="方正黑体_GBK" w:hAnsi="方正黑体_GBK" w:eastAsia="方正黑体_GBK" w:cs="方正黑体_GBK"/>
          <w:b w:val="0"/>
          <w:bCs w:val="0"/>
        </w:rPr>
        <w:t>第十四章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塑造风雅秦淮腔调</w:t>
      </w:r>
      <w:bookmarkEnd w:id="110"/>
    </w:p>
    <w:p w14:paraId="0B49BCD0">
      <w:pPr>
        <w:pStyle w:val="5"/>
        <w:spacing w:after="200"/>
        <w:jc w:val="center"/>
        <w:rPr>
          <w:rFonts w:ascii="方正楷体_GBK" w:hAnsi="方正楷体_GBK" w:eastAsia="方正楷体_GBK"/>
          <w:b w:val="0"/>
          <w:bCs w:val="0"/>
        </w:rPr>
      </w:pPr>
      <w:bookmarkStart w:id="111" w:name="_Toc60466259"/>
      <w:r>
        <w:rPr>
          <w:rFonts w:hint="eastAsia" w:ascii="方正楷体_GBK" w:hAnsi="方正楷体_GBK" w:eastAsia="方正楷体_GBK" w:cs="方正楷体_GBK"/>
          <w:b w:val="0"/>
          <w:bCs w:val="0"/>
        </w:rPr>
        <w:t>第一节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整体塑造文化基因</w:t>
      </w:r>
      <w:bookmarkEnd w:id="111"/>
    </w:p>
    <w:p w14:paraId="2E1F0D45">
      <w:pPr>
        <w:spacing w:line="590" w:lineRule="exact"/>
        <w:ind w:firstLine="629"/>
        <w:rPr>
          <w:rFonts w:eastAsia="方正仿宋_GBK"/>
          <w:sz w:val="32"/>
          <w:szCs w:val="32"/>
        </w:rPr>
      </w:pPr>
      <w:r>
        <w:rPr>
          <w:rFonts w:hint="eastAsia" w:eastAsia="方正仿宋_GBK" w:cs="方正仿宋_GBK"/>
          <w:sz w:val="32"/>
          <w:szCs w:val="32"/>
        </w:rPr>
        <w:t>依托老城南、新街口、南部新城等文化空间，围绕“</w:t>
      </w:r>
      <w:r>
        <w:rPr>
          <w:rFonts w:eastAsia="方正仿宋_GBK"/>
          <w:sz w:val="32"/>
          <w:szCs w:val="32"/>
        </w:rPr>
        <w:t>1+4</w:t>
      </w:r>
      <w:r>
        <w:rPr>
          <w:rFonts w:hint="eastAsia" w:eastAsia="方正仿宋_GBK" w:cs="方正仿宋_GBK"/>
          <w:sz w:val="32"/>
          <w:szCs w:val="32"/>
        </w:rPr>
        <w:t>”故事线，深入发挥文博场馆、实体书店、非遗展馆等载体资源效用，突出文化基因的差异化定位表达。依托文化艺术研究院，加强与国内外权威研究机构合作，引进培育风雅名家，创作风雅作品，传播风雅腔调，形成秦淮文化基因支撑体系。高水平推进太平南路演艺街区、“秦淮河畔”小剧场群建设，推进国创园工业设计、</w:t>
      </w:r>
      <w:r>
        <w:rPr>
          <w:rFonts w:eastAsia="方正仿宋_GBK"/>
          <w:sz w:val="32"/>
          <w:szCs w:val="32"/>
        </w:rPr>
        <w:t>1865</w:t>
      </w:r>
      <w:r>
        <w:rPr>
          <w:rFonts w:hint="eastAsia" w:eastAsia="方正仿宋_GBK" w:cs="方正仿宋_GBK"/>
          <w:sz w:val="32"/>
          <w:szCs w:val="32"/>
        </w:rPr>
        <w:t>园区文创旅游、江苏网络文学谷、核心景区文创文博等“文化</w:t>
      </w:r>
      <w:r>
        <w:rPr>
          <w:rFonts w:eastAsia="方正仿宋_GBK"/>
          <w:sz w:val="32"/>
          <w:szCs w:val="32"/>
        </w:rPr>
        <w:t>+</w:t>
      </w:r>
      <w:r>
        <w:rPr>
          <w:rFonts w:hint="eastAsia" w:eastAsia="方正仿宋_GBK" w:cs="方正仿宋_GBK"/>
          <w:sz w:val="32"/>
          <w:szCs w:val="32"/>
        </w:rPr>
        <w:t>”产业集群发展，挖掘文化基因的产业价值。</w:t>
      </w:r>
    </w:p>
    <w:p w14:paraId="6F8C9B3D">
      <w:pPr>
        <w:pStyle w:val="5"/>
        <w:spacing w:after="200"/>
        <w:jc w:val="center"/>
        <w:rPr>
          <w:rFonts w:ascii="方正楷体_GBK" w:hAnsi="方正楷体_GBK" w:eastAsia="方正楷体_GBK"/>
          <w:b w:val="0"/>
          <w:bCs w:val="0"/>
        </w:rPr>
      </w:pPr>
      <w:bookmarkStart w:id="112" w:name="_Toc60466260"/>
      <w:r>
        <w:rPr>
          <w:rFonts w:hint="eastAsia" w:ascii="方正楷体_GBK" w:hAnsi="方正楷体_GBK" w:eastAsia="方正楷体_GBK" w:cs="方正楷体_GBK"/>
          <w:b w:val="0"/>
          <w:bCs w:val="0"/>
        </w:rPr>
        <w:t>第二节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整体保护文化资源</w:t>
      </w:r>
      <w:bookmarkEnd w:id="112"/>
    </w:p>
    <w:p w14:paraId="77D7C84E">
      <w:pPr>
        <w:spacing w:line="590" w:lineRule="exact"/>
        <w:ind w:firstLine="629"/>
        <w:rPr>
          <w:rFonts w:eastAsia="方正仿宋_GBK"/>
          <w:sz w:val="32"/>
          <w:szCs w:val="32"/>
        </w:rPr>
      </w:pPr>
      <w:r>
        <w:rPr>
          <w:rFonts w:hint="eastAsia" w:eastAsia="方正仿宋_GBK" w:cs="方正仿宋_GBK"/>
          <w:sz w:val="32"/>
          <w:szCs w:val="32"/>
        </w:rPr>
        <w:t>找准长江文化带、大运河文化带和南京“一山两水一城墙”总体格局中的秦淮定位，推动越城、西街、朝天宫等文脉资源的整体保护和活化利用，做好秦淮文化输出。推进南部新城机场记忆跑道、中国历史第二档案馆、南京博物院故宫馆等重大文化项目建设。推进“南京白局”、“金陵古琴”、“秦淮灯彩”等非物质文化遗产活态研究保护，留真留整。探索古民居保护模式，建立居民人口疏散长效机制，统一实施市政基础设施改造、环境综合整治、保护利用项目申报和绩效评价，打造童雋故居、刘志田故居、李公祠等一批古民居记忆空间。</w:t>
      </w:r>
    </w:p>
    <w:p w14:paraId="20753309">
      <w:pPr>
        <w:pStyle w:val="5"/>
        <w:spacing w:after="200"/>
        <w:jc w:val="center"/>
        <w:rPr>
          <w:rFonts w:ascii="方正楷体_GBK" w:hAnsi="方正楷体_GBK" w:eastAsia="方正楷体_GBK"/>
          <w:b w:val="0"/>
          <w:bCs w:val="0"/>
        </w:rPr>
      </w:pPr>
      <w:bookmarkStart w:id="113" w:name="_Toc60466261"/>
      <w:r>
        <w:rPr>
          <w:rFonts w:hint="eastAsia" w:ascii="方正楷体_GBK" w:hAnsi="方正楷体_GBK" w:eastAsia="方正楷体_GBK" w:cs="方正楷体_GBK"/>
          <w:b w:val="0"/>
          <w:bCs w:val="0"/>
        </w:rPr>
        <w:t>第三节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系统构建文化品牌</w:t>
      </w:r>
      <w:bookmarkEnd w:id="113"/>
    </w:p>
    <w:p w14:paraId="38E49207">
      <w:pPr>
        <w:spacing w:line="590" w:lineRule="exact"/>
        <w:ind w:firstLine="629"/>
        <w:rPr>
          <w:rFonts w:eastAsia="方正仿宋_GBK"/>
          <w:sz w:val="32"/>
          <w:szCs w:val="32"/>
        </w:rPr>
      </w:pPr>
      <w:r>
        <w:rPr>
          <w:rFonts w:hint="eastAsia" w:eastAsia="方正仿宋_GBK" w:cs="方正仿宋_GBK"/>
          <w:sz w:val="32"/>
          <w:szCs w:val="32"/>
        </w:rPr>
        <w:t>以社会主义核心价值观为引领，融入南京“世界文学之都”打造，提炼萃取秦淮文化的当代价值和世界意义，构建“风雅秦淮”品牌体系，不断提升秦淮文化</w:t>
      </w:r>
      <w:r>
        <w:rPr>
          <w:rFonts w:eastAsia="方正仿宋_GBK"/>
          <w:sz w:val="32"/>
          <w:szCs w:val="32"/>
        </w:rPr>
        <w:t xml:space="preserve"> IP </w:t>
      </w:r>
      <w:r>
        <w:rPr>
          <w:rFonts w:hint="eastAsia" w:eastAsia="方正仿宋_GBK" w:cs="方正仿宋_GBK"/>
          <w:sz w:val="32"/>
          <w:szCs w:val="32"/>
        </w:rPr>
        <w:t>知名度和到达率。打造国际水准的灯光艺术节，策划“桨声灯影”等主题论坛活动，为秦淮灯会、秦淮画舫、秦淮小吃等传统品牌注入现代活力。推动老字号品牌保护利用与持续发展，发展夜间经济，为夜享秦淮、秦淮礼物、夜泊秦淮、夜宿秦淮等新锐品牌注入文化生机和消费活力。</w:t>
      </w:r>
    </w:p>
    <w:p w14:paraId="70F91C7D">
      <w:pPr>
        <w:pStyle w:val="5"/>
        <w:spacing w:after="200"/>
        <w:jc w:val="center"/>
        <w:rPr>
          <w:rFonts w:ascii="方正楷体_GBK" w:hAnsi="方正楷体_GBK" w:eastAsia="方正楷体_GBK"/>
          <w:b w:val="0"/>
          <w:bCs w:val="0"/>
        </w:rPr>
      </w:pPr>
      <w:bookmarkStart w:id="114" w:name="_Toc60466262"/>
      <w:r>
        <w:rPr>
          <w:rFonts w:hint="eastAsia" w:ascii="方正楷体_GBK" w:hAnsi="方正楷体_GBK" w:eastAsia="方正楷体_GBK" w:cs="方正楷体_GBK"/>
          <w:b w:val="0"/>
          <w:bCs w:val="0"/>
        </w:rPr>
        <w:t>第四节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讲述传播秦淮故事</w:t>
      </w:r>
      <w:bookmarkEnd w:id="114"/>
    </w:p>
    <w:p w14:paraId="328010AE">
      <w:pPr>
        <w:spacing w:line="590" w:lineRule="exact"/>
        <w:ind w:firstLine="629"/>
        <w:rPr>
          <w:rFonts w:eastAsia="方正仿宋_GBK"/>
          <w:sz w:val="32"/>
          <w:szCs w:val="32"/>
        </w:rPr>
      </w:pPr>
      <w:r>
        <w:rPr>
          <w:rFonts w:hint="eastAsia" w:eastAsia="方正仿宋_GBK" w:cs="方正仿宋_GBK"/>
          <w:sz w:val="32"/>
          <w:szCs w:val="32"/>
        </w:rPr>
        <w:t>以“秦淮故事”为主线，打造涵盖多个文学艺术门类，富有秦淮特色，体现时代精神的文艺作品，建设文艺精品创作和转化高地。创新文艺管理机制，扶持鼓励原创文艺作品和项目孵化，培育发展新型艺术门类，扶持一批具有国内影响力的原创精品力作。依托网络文学谷等平台资源，丰富秦淮故事系列网络文学小说，建立网络文学</w:t>
      </w:r>
      <w:r>
        <w:rPr>
          <w:rFonts w:eastAsia="方正仿宋_GBK"/>
          <w:sz w:val="32"/>
          <w:szCs w:val="32"/>
        </w:rPr>
        <w:t>IP</w:t>
      </w:r>
      <w:r>
        <w:rPr>
          <w:rFonts w:hint="eastAsia" w:eastAsia="方正仿宋_GBK" w:cs="方正仿宋_GBK"/>
          <w:sz w:val="32"/>
          <w:szCs w:val="32"/>
        </w:rPr>
        <w:t>影视转化机制，推动网络文学作品的影视转化。深入推进区级融媒体中心、新时代文明实践中心建设，打造新媒体传播矩阵。</w:t>
      </w:r>
    </w:p>
    <w:p w14:paraId="1B404BB7">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115" w:name="_Toc60466263"/>
      <w:r>
        <w:rPr>
          <w:rFonts w:hint="eastAsia" w:ascii="方正黑体_GBK" w:hAnsi="方正黑体_GBK" w:eastAsia="方正黑体_GBK" w:cs="方正黑体_GBK"/>
          <w:b w:val="0"/>
          <w:bCs w:val="0"/>
        </w:rPr>
        <w:t>第十五章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推进文旅商融合发展</w:t>
      </w:r>
      <w:bookmarkEnd w:id="115"/>
    </w:p>
    <w:p w14:paraId="3D6BA0DB">
      <w:pPr>
        <w:pStyle w:val="5"/>
        <w:spacing w:after="200"/>
        <w:jc w:val="center"/>
        <w:rPr>
          <w:rFonts w:ascii="方正楷体_GBK" w:hAnsi="方正楷体_GBK" w:eastAsia="方正楷体_GBK"/>
          <w:b w:val="0"/>
          <w:bCs w:val="0"/>
        </w:rPr>
      </w:pPr>
      <w:bookmarkStart w:id="116" w:name="_Toc60466264"/>
      <w:r>
        <w:rPr>
          <w:rFonts w:hint="eastAsia" w:ascii="方正楷体_GBK" w:hAnsi="方正楷体_GBK" w:eastAsia="方正楷体_GBK" w:cs="方正楷体_GBK"/>
          <w:b w:val="0"/>
          <w:bCs w:val="0"/>
        </w:rPr>
        <w:t>第一节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构建全域一体格局</w:t>
      </w:r>
      <w:bookmarkEnd w:id="116"/>
    </w:p>
    <w:p w14:paraId="6147C6CA">
      <w:pPr>
        <w:spacing w:line="590" w:lineRule="exact"/>
        <w:ind w:firstLine="629"/>
        <w:rPr>
          <w:rFonts w:eastAsia="方正仿宋_GBK"/>
          <w:sz w:val="32"/>
          <w:szCs w:val="32"/>
        </w:rPr>
      </w:pPr>
      <w:r>
        <w:rPr>
          <w:rFonts w:hint="eastAsia" w:eastAsia="方正仿宋_GBK" w:cs="方正仿宋_GBK"/>
          <w:sz w:val="32"/>
          <w:szCs w:val="32"/>
        </w:rPr>
        <w:t>统筹文旅商融合发展的保护、建设、管理规划和行动计划，分步实施夫子庙业态品质提升、新街口文化内核集聚、太平南路民国商业文化复兴、中华门片区整体研究、秦淮城市记忆传承等工程。协同全域资源，推进“四区同创”，用好大运河基金和文旅基金，积极吸纳社会资本，梳理建设一批关联项目，形成全域一体化推进的文旅商融合发展合力。</w:t>
      </w:r>
    </w:p>
    <w:p w14:paraId="01BA6D83">
      <w:pPr>
        <w:pStyle w:val="5"/>
        <w:spacing w:after="200"/>
        <w:jc w:val="center"/>
        <w:rPr>
          <w:rFonts w:ascii="方正楷体_GBK" w:hAnsi="方正楷体_GBK" w:eastAsia="方正楷体_GBK"/>
          <w:b w:val="0"/>
          <w:bCs w:val="0"/>
        </w:rPr>
      </w:pPr>
      <w:bookmarkStart w:id="117" w:name="_Toc60466265"/>
      <w:r>
        <w:rPr>
          <w:rFonts w:hint="eastAsia" w:ascii="方正楷体_GBK" w:hAnsi="方正楷体_GBK" w:eastAsia="方正楷体_GBK" w:cs="方正楷体_GBK"/>
          <w:b w:val="0"/>
          <w:bCs w:val="0"/>
        </w:rPr>
        <w:t>第二节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加快建设文化地标</w:t>
      </w:r>
      <w:bookmarkEnd w:id="117"/>
    </w:p>
    <w:p w14:paraId="2AA673F0">
      <w:pPr>
        <w:spacing w:line="590" w:lineRule="exact"/>
        <w:ind w:firstLine="629"/>
        <w:rPr>
          <w:rFonts w:eastAsia="方正仿宋_GBK"/>
          <w:sz w:val="32"/>
          <w:szCs w:val="32"/>
        </w:rPr>
      </w:pPr>
      <w:r>
        <w:rPr>
          <w:rFonts w:hint="eastAsia" w:eastAsia="方正仿宋_GBK" w:cs="方正仿宋_GBK"/>
          <w:sz w:val="32"/>
          <w:szCs w:val="32"/>
        </w:rPr>
        <w:t>加快推进西街、门东双塘园历史风貌区、门西数字生活街区、西五华里、科举博物馆二期等标志性项目，建成开放明城墙博物馆、秦淮非遗馆。围绕机场跑道公园和超级总部集聚区建设，建设油库公园、河头公园等南部新城文化地标，争取一批重量级公共文化场馆、展会、节庆活动落地，打造具有国际影响力的城市文化客厅。筹划老城空间艺术化改造，恢复呈现老城南市井烟火、老建筑历史味道和老一辈时代记忆。</w:t>
      </w:r>
      <w:r>
        <w:rPr>
          <w:rFonts w:eastAsia="方正仿宋_GBK"/>
          <w:sz w:val="32"/>
          <w:szCs w:val="32"/>
        </w:rPr>
        <w:t xml:space="preserve"> </w:t>
      </w:r>
    </w:p>
    <w:p w14:paraId="5A164026">
      <w:pPr>
        <w:pStyle w:val="5"/>
        <w:spacing w:after="200"/>
        <w:jc w:val="center"/>
        <w:rPr>
          <w:rFonts w:ascii="方正楷体_GBK" w:hAnsi="方正楷体_GBK" w:eastAsia="方正楷体_GBK"/>
          <w:b w:val="0"/>
          <w:bCs w:val="0"/>
        </w:rPr>
      </w:pPr>
      <w:bookmarkStart w:id="118" w:name="_Toc60466266"/>
      <w:r>
        <w:rPr>
          <w:rFonts w:hint="eastAsia" w:ascii="方正楷体_GBK" w:hAnsi="方正楷体_GBK" w:eastAsia="方正楷体_GBK" w:cs="方正楷体_GBK"/>
          <w:b w:val="0"/>
          <w:bCs w:val="0"/>
        </w:rPr>
        <w:t>第三节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策划实施融合项目</w:t>
      </w:r>
      <w:bookmarkEnd w:id="118"/>
    </w:p>
    <w:p w14:paraId="7C358125">
      <w:pPr>
        <w:spacing w:line="590" w:lineRule="exact"/>
        <w:ind w:firstLine="629"/>
        <w:rPr>
          <w:rFonts w:eastAsia="方正仿宋_GBK"/>
          <w:sz w:val="32"/>
          <w:szCs w:val="32"/>
        </w:rPr>
      </w:pPr>
      <w:r>
        <w:rPr>
          <w:rFonts w:hint="eastAsia" w:eastAsia="方正仿宋_GBK" w:cs="方正仿宋_GBK"/>
          <w:sz w:val="32"/>
          <w:szCs w:val="32"/>
        </w:rPr>
        <w:t>借鉴大唐不夜城等文旅商融合发展模式，推进西街、城市名人馆建设，策划越城“城市起源地”沉浸式体验项目，加快门东东延、门西开发，推动以中华门为核心的国际文化旅游目的地建设取得实质性进展。引进头部文旅商企业，带动老城南片区流量热度和新潮程度再提升。突出“城市游乐场”方向，推动新街口商圈低效楼宇功能置换，引进电子竞技、体育赛事等高流量活动，升级“新街口市集”等购物节，提升新街口城市时尚活力核心地位。聚焦城市客厅功能，支持南部新城引进建设高规格主题博物馆，引进国际顶尖音乐场馆，放大文化娱乐体验的吸引力和号召力。</w:t>
      </w:r>
    </w:p>
    <w:p w14:paraId="7FD41AC7">
      <w:pPr>
        <w:pStyle w:val="5"/>
        <w:spacing w:after="200"/>
        <w:jc w:val="center"/>
        <w:rPr>
          <w:rFonts w:ascii="方正楷体_GBK" w:hAnsi="方正楷体_GBK" w:eastAsia="方正楷体_GBK"/>
          <w:b w:val="0"/>
          <w:bCs w:val="0"/>
        </w:rPr>
      </w:pPr>
      <w:bookmarkStart w:id="119" w:name="_Toc60466267"/>
      <w:r>
        <w:rPr>
          <w:rFonts w:hint="eastAsia" w:ascii="方正楷体_GBK" w:hAnsi="方正楷体_GBK" w:eastAsia="方正楷体_GBK" w:cs="方正楷体_GBK"/>
          <w:b w:val="0"/>
          <w:bCs w:val="0"/>
        </w:rPr>
        <w:t>第四节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集聚新型场景业态</w:t>
      </w:r>
      <w:bookmarkEnd w:id="119"/>
    </w:p>
    <w:p w14:paraId="2D6B16E8">
      <w:pPr>
        <w:spacing w:line="590" w:lineRule="exact"/>
        <w:ind w:firstLine="629"/>
        <w:rPr>
          <w:rFonts w:eastAsia="方正仿宋_GBK"/>
          <w:sz w:val="32"/>
          <w:szCs w:val="32"/>
        </w:rPr>
      </w:pPr>
      <w:r>
        <w:rPr>
          <w:rFonts w:hint="eastAsia" w:eastAsia="方正仿宋_GBK" w:cs="方正仿宋_GBK"/>
          <w:sz w:val="32"/>
          <w:szCs w:val="32"/>
        </w:rPr>
        <w:t>打造特色生活化体验消费场景，引进国际品牌首店、旗舰店，丰富发展特色餐饮、商旅观光、文化演出等产业，打造一站式文旅商休闲旅游目的地。推进老城南文旅商融合提升策划和新场景打造，融入全息影像、</w:t>
      </w:r>
      <w:r>
        <w:rPr>
          <w:rFonts w:eastAsia="方正仿宋_GBK"/>
          <w:sz w:val="32"/>
          <w:szCs w:val="32"/>
        </w:rPr>
        <w:t>AR</w:t>
      </w:r>
      <w:r>
        <w:rPr>
          <w:rFonts w:hint="eastAsia" w:eastAsia="方正仿宋_GBK" w:cs="方正仿宋_GBK"/>
          <w:sz w:val="32"/>
          <w:szCs w:val="32"/>
        </w:rPr>
        <w:t>等现代科技手段，打造体验消费“爆款”。推进太平南路演艺集聚区建设，实现白鹭洲公园“桨声灯影·文都行”</w:t>
      </w:r>
      <w:r>
        <w:rPr>
          <w:rFonts w:eastAsia="方正仿宋_GBK"/>
          <w:sz w:val="32"/>
          <w:szCs w:val="32"/>
        </w:rPr>
        <w:t>2.0</w:t>
      </w:r>
      <w:r>
        <w:rPr>
          <w:rFonts w:hint="eastAsia" w:eastAsia="方正仿宋_GBK" w:cs="方正仿宋_GBK"/>
          <w:sz w:val="32"/>
          <w:szCs w:val="32"/>
        </w:rPr>
        <w:t>打版落地，建设戏院里、长乐剧场，策划小西湖、愚园、芥子园等片区的剧目展演，丰富“秦淮有戏”产品内涵层次。促进文化产业与数字经济、互联科技深度融合，引进培育短视频、网络文学、版权交易等数字文化业态，营造文旅商生态体系。</w:t>
      </w:r>
    </w:p>
    <w:p w14:paraId="14DE93F3">
      <w:pPr>
        <w:pStyle w:val="2"/>
      </w:pPr>
    </w:p>
    <w:tbl>
      <w:tblPr>
        <w:tblStyle w:val="12"/>
        <w:tblW w:w="5000" w:type="pct"/>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71EED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7AD7DEFE">
            <w:pPr>
              <w:spacing w:line="520" w:lineRule="exact"/>
              <w:jc w:val="center"/>
              <w:rPr>
                <w:rFonts w:eastAsia="方正黑体简体"/>
                <w:sz w:val="24"/>
                <w:szCs w:val="24"/>
              </w:rPr>
            </w:pPr>
            <w:r>
              <w:rPr>
                <w:rFonts w:hint="eastAsia" w:eastAsia="方正黑体简体" w:cs="方正黑体简体"/>
                <w:sz w:val="24"/>
                <w:szCs w:val="24"/>
              </w:rPr>
              <w:t>专栏四：文旅商融合发展行动</w:t>
            </w:r>
          </w:p>
        </w:tc>
      </w:tr>
      <w:tr w14:paraId="5E3B0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5000" w:type="pct"/>
            <w:vAlign w:val="center"/>
          </w:tcPr>
          <w:p w14:paraId="4C56CDC6">
            <w:pPr>
              <w:numPr>
                <w:ilvl w:val="0"/>
                <w:numId w:val="2"/>
              </w:numPr>
              <w:spacing w:line="500" w:lineRule="exact"/>
              <w:jc w:val="left"/>
              <w:rPr>
                <w:sz w:val="22"/>
                <w:szCs w:val="22"/>
              </w:rPr>
            </w:pPr>
            <w:r>
              <w:rPr>
                <w:rFonts w:hint="eastAsia" w:cs="宋体"/>
                <w:sz w:val="22"/>
                <w:szCs w:val="22"/>
              </w:rPr>
              <w:t>融合空间拓展行动：启动周处读书台“山水人文苑”、西五华里休闲文化街区、双塘园文化休闲街区、西街城市记忆文旅街区建设；完成南捕厅休闲文化街区、西湖里</w:t>
            </w:r>
            <w:r>
              <w:rPr>
                <w:sz w:val="22"/>
                <w:szCs w:val="22"/>
              </w:rPr>
              <w:t>·</w:t>
            </w:r>
            <w:r>
              <w:rPr>
                <w:rFonts w:hint="eastAsia" w:cs="宋体"/>
                <w:sz w:val="22"/>
                <w:szCs w:val="22"/>
              </w:rPr>
              <w:t>创意街坊、越城天地文化旅游街区、西白菜园国际潮流社区建设</w:t>
            </w:r>
          </w:p>
          <w:p w14:paraId="63B2AD60">
            <w:pPr>
              <w:numPr>
                <w:ilvl w:val="0"/>
                <w:numId w:val="2"/>
              </w:numPr>
              <w:spacing w:line="500" w:lineRule="exact"/>
              <w:jc w:val="left"/>
              <w:rPr>
                <w:sz w:val="22"/>
                <w:szCs w:val="22"/>
              </w:rPr>
            </w:pPr>
            <w:r>
              <w:rPr>
                <w:rFonts w:hint="eastAsia" w:cs="宋体"/>
                <w:sz w:val="22"/>
                <w:szCs w:val="22"/>
              </w:rPr>
              <w:t>非遗保护利用行动：弘扬“南京白局”、“金陵古琴”、“秦淮灯彩”等非遗项目品牌，推进非遗特色校园建设、非遗数字化建设、非遗记录式保护等项目，成立南京白局校际联盟，完成金陵古琴打谱，优化提升金陵古琴音乐周。加快文化遗产信息化建设，创建秦淮区非物质文化遗产保护档案、信息数据库，建成文化遗产信息平台，完成省级以上和濒危非遗保护项目数字化采集工作，运用数字化手段保护非遗</w:t>
            </w:r>
          </w:p>
          <w:p w14:paraId="02EE2DB0">
            <w:pPr>
              <w:numPr>
                <w:ilvl w:val="0"/>
                <w:numId w:val="2"/>
              </w:numPr>
              <w:spacing w:line="500" w:lineRule="exact"/>
              <w:jc w:val="left"/>
              <w:rPr>
                <w:sz w:val="22"/>
                <w:szCs w:val="22"/>
              </w:rPr>
            </w:pPr>
            <w:r>
              <w:rPr>
                <w:rFonts w:hint="eastAsia" w:cs="宋体"/>
                <w:sz w:val="22"/>
                <w:szCs w:val="22"/>
              </w:rPr>
              <w:t>老字号保护利用行动：壮大培育绿柳居、奇芳阁、金陵春、莲湖、永和园、蒋有记、谢馥春、宝庆银楼、苏豪丝绸等商业老字号，鼓励老字号设立分店，支持老字号引入和回迁，在商场设置老字号专柜，形成老字号品牌专区等</w:t>
            </w:r>
          </w:p>
          <w:p w14:paraId="4B187B07">
            <w:pPr>
              <w:numPr>
                <w:ilvl w:val="0"/>
                <w:numId w:val="2"/>
              </w:numPr>
              <w:spacing w:line="500" w:lineRule="exact"/>
              <w:jc w:val="left"/>
              <w:rPr>
                <w:rFonts w:eastAsia="方正黑体_GBK"/>
                <w:sz w:val="24"/>
                <w:szCs w:val="24"/>
              </w:rPr>
            </w:pPr>
            <w:r>
              <w:rPr>
                <w:rFonts w:hint="eastAsia" w:cs="宋体"/>
                <w:sz w:val="22"/>
                <w:szCs w:val="22"/>
              </w:rPr>
              <w:t>古民居保护利用行动：启动荷花塘、钓鱼台历史风貌区有机更新，推动南捕厅历史街区建设，推动刘志田故居、李公祠、曾公祠、童雋故居、钓鱼台河厅、河房等古民居科学利用；实施私有产权古民居人口疏散计划，对古民居原居民有计划、分步骤地局部疏散人口，对疏散腾退后的古民居采取定点保护</w:t>
            </w:r>
          </w:p>
        </w:tc>
      </w:tr>
    </w:tbl>
    <w:p w14:paraId="18FD7D96">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120" w:name="_Toc60466268"/>
      <w:r>
        <w:rPr>
          <w:rFonts w:hint="eastAsia" w:ascii="方正黑体_GBK" w:hAnsi="方正黑体_GBK" w:eastAsia="方正黑体_GBK" w:cs="方正黑体_GBK"/>
          <w:b w:val="0"/>
          <w:bCs w:val="0"/>
        </w:rPr>
        <w:t>第十六章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切实推进区域文明程度提升</w:t>
      </w:r>
      <w:bookmarkEnd w:id="120"/>
    </w:p>
    <w:p w14:paraId="33139A0F">
      <w:pPr>
        <w:pStyle w:val="5"/>
        <w:spacing w:after="200"/>
        <w:jc w:val="center"/>
        <w:rPr>
          <w:rFonts w:ascii="方正楷体_GBK" w:hAnsi="方正楷体_GBK" w:eastAsia="方正楷体_GBK"/>
          <w:b w:val="0"/>
          <w:bCs w:val="0"/>
        </w:rPr>
      </w:pPr>
      <w:bookmarkStart w:id="121" w:name="_Toc60466269"/>
      <w:r>
        <w:rPr>
          <w:rFonts w:hint="eastAsia" w:ascii="方正楷体_GBK" w:hAnsi="方正楷体_GBK" w:eastAsia="方正楷体_GBK" w:cs="方正楷体_GBK"/>
          <w:b w:val="0"/>
          <w:bCs w:val="0"/>
        </w:rPr>
        <w:t>第一节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深化文化滴灌工程</w:t>
      </w:r>
      <w:bookmarkEnd w:id="121"/>
    </w:p>
    <w:p w14:paraId="1157366F">
      <w:pPr>
        <w:spacing w:line="590" w:lineRule="exact"/>
        <w:ind w:firstLine="629"/>
        <w:rPr>
          <w:rFonts w:eastAsia="方正仿宋_GBK"/>
          <w:sz w:val="32"/>
          <w:szCs w:val="32"/>
        </w:rPr>
      </w:pPr>
      <w:r>
        <w:rPr>
          <w:rFonts w:hint="eastAsia" w:eastAsia="方正仿宋_GBK" w:cs="方正仿宋_GBK"/>
          <w:sz w:val="32"/>
          <w:szCs w:val="32"/>
        </w:rPr>
        <w:t>坚持党管媒体原则，深入开展习近平新时代中国特色社会主义思想学习宣传教育，加强党史、新中国史、改革开放史、社会主义发展史教育，推动理想信念教育常态化制度化，打牢共同奋斗的思想根基。以“润文明”品牌塑造为抓手，深入推进“善行秦淮”建设，形成崇德向善的文明氛围。提升社会主义核心价值观“秦淮表达”影响力，持续将“一城一河”、科举文化、非遗文化、报恩文化、郑和文化等融入社会公益宣传中。加强红色文化资源保护利用，发扬好红色传统，传承好红色基因。加强网络文明建设，营造清朗网络空间。弘扬诚信文化，推动形成适应新时代要求的思想观念、精神面貌、文明风尚、行为规范。加大新时代文明实践中心与融媒体中心融合发展，推动“秦淮表达”线上线下同频共振。</w:t>
      </w:r>
    </w:p>
    <w:p w14:paraId="0ACDE446">
      <w:pPr>
        <w:pStyle w:val="5"/>
        <w:spacing w:after="200"/>
        <w:jc w:val="center"/>
        <w:rPr>
          <w:rFonts w:ascii="方正楷体_GBK" w:hAnsi="方正楷体_GBK" w:eastAsia="方正楷体_GBK"/>
          <w:b w:val="0"/>
          <w:bCs w:val="0"/>
        </w:rPr>
      </w:pPr>
      <w:bookmarkStart w:id="122" w:name="_Toc60466270"/>
      <w:r>
        <w:rPr>
          <w:rFonts w:hint="eastAsia" w:ascii="方正楷体_GBK" w:hAnsi="方正楷体_GBK" w:eastAsia="方正楷体_GBK" w:cs="方正楷体_GBK"/>
          <w:b w:val="0"/>
          <w:bCs w:val="0"/>
        </w:rPr>
        <w:t>第二节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推进文明城市创建</w:t>
      </w:r>
      <w:bookmarkEnd w:id="122"/>
    </w:p>
    <w:p w14:paraId="4424FFAE">
      <w:pPr>
        <w:spacing w:line="590" w:lineRule="exact"/>
        <w:ind w:firstLine="629"/>
        <w:rPr>
          <w:rFonts w:eastAsia="方正仿宋_GBK"/>
          <w:sz w:val="32"/>
          <w:szCs w:val="32"/>
        </w:rPr>
      </w:pPr>
      <w:r>
        <w:rPr>
          <w:rFonts w:hint="eastAsia" w:eastAsia="方正仿宋_GBK" w:cs="方正仿宋_GBK"/>
          <w:sz w:val="32"/>
          <w:szCs w:val="32"/>
        </w:rPr>
        <w:t>持续深化文明城市创建，文明办、城治办、应急办、爱卫办“四办”联动，区域文明程度指数测评保持全市主城区前列。广泛开展“文明单位”、“文明社区”、“文明校区”、“文明家庭”等创建工作，深入开展文明出行、文明旅游、文明餐桌等活动。将社会主义核心价值观教育贯穿未成年人思想道德建设全过程，持续开展“八礼四仪”、“扣好人生第一粒扣子”等主题宣传教育。</w:t>
      </w:r>
    </w:p>
    <w:p w14:paraId="574849CE">
      <w:pPr>
        <w:pStyle w:val="5"/>
        <w:spacing w:after="200"/>
        <w:jc w:val="center"/>
        <w:rPr>
          <w:rFonts w:ascii="方正楷体_GBK" w:hAnsi="方正楷体_GBK" w:eastAsia="方正楷体_GBK"/>
          <w:b w:val="0"/>
          <w:bCs w:val="0"/>
        </w:rPr>
      </w:pPr>
      <w:bookmarkStart w:id="123" w:name="_Toc60466271"/>
      <w:r>
        <w:rPr>
          <w:rFonts w:hint="eastAsia" w:ascii="方正楷体_GBK" w:hAnsi="方正楷体_GBK" w:eastAsia="方正楷体_GBK" w:cs="方正楷体_GBK"/>
          <w:b w:val="0"/>
          <w:bCs w:val="0"/>
        </w:rPr>
        <w:t>第三节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深化道德典型选树</w:t>
      </w:r>
      <w:bookmarkEnd w:id="123"/>
    </w:p>
    <w:p w14:paraId="73C86DB3">
      <w:pPr>
        <w:spacing w:line="590" w:lineRule="exact"/>
        <w:ind w:firstLine="629"/>
        <w:rPr>
          <w:rFonts w:eastAsia="方正仿宋_GBK"/>
          <w:sz w:val="32"/>
          <w:szCs w:val="32"/>
        </w:rPr>
      </w:pPr>
      <w:r>
        <w:rPr>
          <w:rFonts w:hint="eastAsia" w:eastAsia="方正仿宋_GBK" w:cs="方正仿宋_GBK"/>
          <w:sz w:val="32"/>
          <w:szCs w:val="32"/>
        </w:rPr>
        <w:t>落实《新时代公民道德建设实施纲要》、《新时代爱国主义教育实施纲要》，深化社会公德、职业道德、家庭美德、个人品德教育。发挥新时代文明实践中心、所、站作用，大力培育时代新人。通过“凡人风尚”等品牌活动，选树、培育、宣传文明典型，弘扬时代楷模、最美人物和道德模范精神，“点亮一盏灯、照亮一群人”。</w:t>
      </w:r>
    </w:p>
    <w:p w14:paraId="37A51EB0">
      <w:pPr>
        <w:pStyle w:val="5"/>
        <w:spacing w:after="200"/>
        <w:jc w:val="center"/>
        <w:rPr>
          <w:rFonts w:ascii="方正楷体_GBK" w:hAnsi="方正楷体_GBK" w:eastAsia="方正楷体_GBK"/>
          <w:b w:val="0"/>
          <w:bCs w:val="0"/>
        </w:rPr>
      </w:pPr>
      <w:bookmarkStart w:id="124" w:name="_Toc60466272"/>
      <w:r>
        <w:rPr>
          <w:rFonts w:hint="eastAsia" w:ascii="方正楷体_GBK" w:hAnsi="方正楷体_GBK" w:eastAsia="方正楷体_GBK" w:cs="方正楷体_GBK"/>
          <w:b w:val="0"/>
          <w:bCs w:val="0"/>
        </w:rPr>
        <w:t>第四节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提升志愿服务成效</w:t>
      </w:r>
      <w:bookmarkEnd w:id="124"/>
    </w:p>
    <w:p w14:paraId="0CCC483B">
      <w:pPr>
        <w:spacing w:line="590" w:lineRule="exact"/>
        <w:ind w:firstLine="629"/>
        <w:rPr>
          <w:rFonts w:eastAsia="方正仿宋_GBK"/>
          <w:sz w:val="32"/>
          <w:szCs w:val="32"/>
        </w:rPr>
      </w:pPr>
      <w:r>
        <w:rPr>
          <w:rFonts w:hint="eastAsia" w:eastAsia="方正仿宋_GBK" w:cs="方正仿宋_GBK"/>
          <w:sz w:val="32"/>
          <w:szCs w:val="32"/>
        </w:rPr>
        <w:t>依托新时代文明实践中心、所、站、示范点，持续开展理论宣讲、科技科普、教育实践、文化惠民、卫生健康等志愿服务活动。深化“雷锋常驻夫子庙”、“青春闪亮新街口”、“邻里守望红丝带”、“守望门西”、“时间银行”等志愿服务品牌建设，开展全覆盖、分众化、菜单式的志愿活动，零距离服务群众，推动志愿服务引领文明新风尚。</w:t>
      </w:r>
    </w:p>
    <w:p w14:paraId="00A2ED6F">
      <w:pPr>
        <w:pStyle w:val="2"/>
        <w:rPr>
          <w:rFonts w:eastAsia="仿宋"/>
          <w:sz w:val="32"/>
          <w:szCs w:val="32"/>
        </w:rPr>
      </w:pPr>
    </w:p>
    <w:p w14:paraId="14E74BE5">
      <w:pPr>
        <w:pStyle w:val="2"/>
        <w:rPr>
          <w:rFonts w:eastAsia="仿宋"/>
          <w:sz w:val="32"/>
          <w:szCs w:val="32"/>
        </w:rPr>
      </w:pPr>
    </w:p>
    <w:p w14:paraId="684C5236">
      <w:pPr>
        <w:pStyle w:val="3"/>
        <w:keepNext w:val="0"/>
        <w:keepLines w:val="0"/>
        <w:spacing w:before="0" w:after="0" w:line="540" w:lineRule="exact"/>
        <w:jc w:val="center"/>
        <w:rPr>
          <w:rFonts w:eastAsia="华文中宋"/>
          <w:b w:val="0"/>
          <w:bCs w:val="0"/>
        </w:rPr>
      </w:pPr>
    </w:p>
    <w:p w14:paraId="23FDE704">
      <w:pPr>
        <w:pStyle w:val="3"/>
        <w:keepNext w:val="0"/>
        <w:keepLines w:val="0"/>
        <w:spacing w:before="0" w:after="0" w:line="540" w:lineRule="exact"/>
        <w:jc w:val="center"/>
        <w:rPr>
          <w:rFonts w:eastAsia="华文中宋"/>
          <w:b w:val="0"/>
          <w:bCs w:val="0"/>
        </w:rPr>
      </w:pPr>
    </w:p>
    <w:p w14:paraId="31A94917">
      <w:pPr>
        <w:pStyle w:val="3"/>
        <w:keepNext w:val="0"/>
        <w:keepLines w:val="0"/>
        <w:spacing w:before="0" w:after="0" w:line="540" w:lineRule="exact"/>
        <w:jc w:val="center"/>
        <w:rPr>
          <w:rFonts w:eastAsia="华文中宋"/>
          <w:b w:val="0"/>
          <w:bCs w:val="0"/>
        </w:rPr>
      </w:pPr>
    </w:p>
    <w:p w14:paraId="700844D8">
      <w:pPr>
        <w:pStyle w:val="3"/>
        <w:keepNext w:val="0"/>
        <w:keepLines w:val="0"/>
        <w:spacing w:before="0" w:after="0" w:line="700" w:lineRule="exact"/>
        <w:jc w:val="center"/>
        <w:rPr>
          <w:rFonts w:ascii="方正小标宋_GBK" w:eastAsia="方正小标宋_GBK"/>
          <w:b w:val="0"/>
          <w:bCs w:val="0"/>
        </w:rPr>
      </w:pPr>
      <w:bookmarkStart w:id="125" w:name="_Toc60466273"/>
      <w:r>
        <w:rPr>
          <w:rFonts w:hint="eastAsia" w:ascii="方正小标宋_GBK" w:eastAsia="方正小标宋_GBK" w:cs="方正小标宋_GBK"/>
          <w:b w:val="0"/>
          <w:bCs w:val="0"/>
        </w:rPr>
        <w:t>第六篇</w:t>
      </w:r>
      <w:r>
        <w:rPr>
          <w:rFonts w:ascii="方正小标宋_GBK" w:eastAsia="方正小标宋_GBK" w:cs="方正小标宋_GBK"/>
          <w:b w:val="0"/>
          <w:bCs w:val="0"/>
        </w:rPr>
        <w:t xml:space="preserve"> </w:t>
      </w:r>
      <w:r>
        <w:rPr>
          <w:rFonts w:hint="eastAsia" w:ascii="方正小标宋_GBK" w:eastAsia="方正小标宋_GBK" w:cs="方正小标宋_GBK"/>
          <w:b w:val="0"/>
          <w:bCs w:val="0"/>
        </w:rPr>
        <w:t>彰显老城新城风貌，精细城市建设管理，优化美丽秦淮人居新体验</w:t>
      </w:r>
      <w:bookmarkEnd w:id="125"/>
    </w:p>
    <w:p w14:paraId="45E073BF">
      <w:pPr>
        <w:spacing w:line="520" w:lineRule="exact"/>
        <w:ind w:firstLine="640" w:firstLineChars="200"/>
        <w:rPr>
          <w:rFonts w:eastAsia="方正仿宋_GBK"/>
          <w:sz w:val="32"/>
          <w:szCs w:val="32"/>
        </w:rPr>
      </w:pPr>
    </w:p>
    <w:p w14:paraId="48093330">
      <w:pPr>
        <w:spacing w:line="590" w:lineRule="exact"/>
        <w:ind w:firstLine="629"/>
        <w:rPr>
          <w:rFonts w:eastAsia="方正仿宋_GBK"/>
          <w:sz w:val="32"/>
          <w:szCs w:val="32"/>
        </w:rPr>
      </w:pPr>
      <w:r>
        <w:rPr>
          <w:rFonts w:hint="eastAsia" w:eastAsia="方正仿宋_GBK" w:cs="方正仿宋_GBK"/>
          <w:sz w:val="32"/>
          <w:szCs w:val="32"/>
        </w:rPr>
        <w:t>立足秦淮老城、新城空间特质，突出城市建设的差异化定位、一体化推进、均衡化发展，坚持绿水青山就是金山银山理念，坚持在管理上下“绣花”功夫，加强山水城林塑造和历史风貌保护，做好沿明城墙、沿内外秦淮河、沿历史街巷“三沿”文章，彰显美丽秦淮生态人文魅力，提升城市建设管理的精细化水平。</w:t>
      </w:r>
    </w:p>
    <w:p w14:paraId="70BA15F3">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126" w:name="_Toc60466274"/>
      <w:r>
        <w:rPr>
          <w:rFonts w:hint="eastAsia" w:ascii="方正黑体_GBK" w:hAnsi="方正黑体_GBK" w:eastAsia="方正黑体_GBK" w:cs="方正黑体_GBK"/>
          <w:b w:val="0"/>
          <w:bCs w:val="0"/>
        </w:rPr>
        <w:t>第十七章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凸显老城新城建设风貌</w:t>
      </w:r>
      <w:bookmarkEnd w:id="126"/>
    </w:p>
    <w:p w14:paraId="7A7324E5">
      <w:pPr>
        <w:pStyle w:val="5"/>
        <w:spacing w:after="200"/>
        <w:jc w:val="center"/>
        <w:rPr>
          <w:rFonts w:ascii="方正楷体_GBK" w:hAnsi="方正楷体_GBK" w:eastAsia="方正楷体_GBK"/>
          <w:b w:val="0"/>
          <w:bCs w:val="0"/>
        </w:rPr>
      </w:pPr>
      <w:bookmarkStart w:id="127" w:name="_Toc60466275"/>
      <w:r>
        <w:rPr>
          <w:rFonts w:hint="eastAsia" w:ascii="方正楷体_GBK" w:hAnsi="方正楷体_GBK" w:eastAsia="方正楷体_GBK" w:cs="方正楷体_GBK"/>
          <w:b w:val="0"/>
          <w:bCs w:val="0"/>
        </w:rPr>
        <w:t>第一节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展现老城历史人文风貌</w:t>
      </w:r>
      <w:bookmarkEnd w:id="127"/>
    </w:p>
    <w:p w14:paraId="0552684D">
      <w:pPr>
        <w:spacing w:line="590" w:lineRule="exact"/>
        <w:ind w:firstLine="629"/>
        <w:rPr>
          <w:rFonts w:eastAsia="方正仿宋_GBK"/>
          <w:sz w:val="32"/>
          <w:szCs w:val="32"/>
        </w:rPr>
      </w:pPr>
      <w:r>
        <w:rPr>
          <w:rFonts w:hint="eastAsia" w:eastAsia="方正仿宋_GBK" w:cs="方正仿宋_GBK"/>
          <w:sz w:val="32"/>
          <w:szCs w:val="32"/>
        </w:rPr>
        <w:t>老城</w:t>
      </w:r>
      <w:bookmarkStart w:id="128" w:name="_Toc48048499"/>
      <w:r>
        <w:rPr>
          <w:rFonts w:hint="eastAsia" w:eastAsia="方正仿宋_GBK" w:cs="方正仿宋_GBK"/>
          <w:sz w:val="32"/>
          <w:szCs w:val="32"/>
        </w:rPr>
        <w:t>片区突出历史文化</w:t>
      </w:r>
      <w:bookmarkEnd w:id="128"/>
      <w:r>
        <w:rPr>
          <w:rFonts w:hint="eastAsia" w:eastAsia="方正仿宋_GBK" w:cs="方正仿宋_GBK"/>
          <w:sz w:val="32"/>
          <w:szCs w:val="32"/>
        </w:rPr>
        <w:t>传承和人居环境改善。在空间风貌呈现上，开展“一城一河”文旅商资源整合，夫子庙、朝天宫、老门东、老门西、门外片区保护更新和综合整治，构建“城脉、水脉、文脉”三位一体的特色空间格局。突出以文化底蕴挖掘和名胜佳景串联，突出历史建筑肌理保留和修缮，突出重点片区滨水景观、灯光亮化、公共空间提升，突出城市建筑风貌与历史文物建筑的协调，突出“渐进式”老城保护更新模式创新探索实践，凸显“城、河、山、塔、寺、民居”一体的城市文化景观特色风貌。在人居环境提升上，加快公园绿地空间整理，开展明城墙绿道、外秦淮河道等绿道建设和微更新、口袋公园等城市改造。加快停车站场建设，建设白鹭洲公园西门等社会公共停车场，建设“智慧停车”一体化平台，采用“潮汐式”共享停车模式盘活全区停车资源。推进老城公共服务空间复合功能建设，加强服务载体共享互助，复合教育、文体、卫生、养老等配套功能，提高空间和设施使用效率。突出关注“一老一小”人群对城市设施和服务的需求，科学配比医疗、教育、养老、文体等服务资源。</w:t>
      </w:r>
    </w:p>
    <w:p w14:paraId="1F99675B">
      <w:pPr>
        <w:pStyle w:val="5"/>
        <w:spacing w:after="200"/>
        <w:jc w:val="center"/>
        <w:rPr>
          <w:rFonts w:ascii="方正楷体_GBK" w:hAnsi="方正楷体_GBK" w:eastAsia="方正楷体_GBK"/>
          <w:b w:val="0"/>
          <w:bCs w:val="0"/>
        </w:rPr>
      </w:pPr>
      <w:bookmarkStart w:id="129" w:name="_Toc60466276"/>
      <w:r>
        <w:rPr>
          <w:rFonts w:hint="eastAsia" w:ascii="方正楷体_GBK" w:hAnsi="方正楷体_GBK" w:eastAsia="方正楷体_GBK" w:cs="方正楷体_GBK"/>
          <w:b w:val="0"/>
          <w:bCs w:val="0"/>
        </w:rPr>
        <w:t>第二节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呈现新城现代未来愿景</w:t>
      </w:r>
      <w:bookmarkEnd w:id="129"/>
    </w:p>
    <w:p w14:paraId="58D87574">
      <w:pPr>
        <w:spacing w:line="590" w:lineRule="exact"/>
        <w:ind w:firstLine="629"/>
        <w:rPr>
          <w:rFonts w:eastAsia="方正仿宋_GBK"/>
          <w:sz w:val="32"/>
          <w:szCs w:val="32"/>
        </w:rPr>
      </w:pPr>
      <w:r>
        <w:rPr>
          <w:rFonts w:hint="eastAsia" w:eastAsia="方正仿宋_GBK" w:cs="方正仿宋_GBK"/>
          <w:sz w:val="32"/>
          <w:szCs w:val="32"/>
        </w:rPr>
        <w:t>新城片区突出城市形态呈现和现代社区提前布局。加快推进路网体系建设，建成承天大道、国际路快速路等主干道，拓宽紫云大道、上高路，打通永丰大道、银龙路等断头路，打通支路微循环，呈现“密路网、小街区”特色路网体系。加快建设中芬合作交流中心、银城国际健康城、奥特佳总部大厦等产业项目，南京外国语学校、南部新城全民健身中心等社会事业项目建设。推动新城地下空间规模化开发，加强与地铁、地块、能源站、跑道公园景观等方案的一体化统筹，建设红花路、纬七路等地下综合管廊。做好地铁</w:t>
      </w:r>
      <w:r>
        <w:rPr>
          <w:rFonts w:eastAsia="方正仿宋_GBK"/>
          <w:sz w:val="32"/>
          <w:szCs w:val="32"/>
        </w:rPr>
        <w:t>5</w:t>
      </w:r>
      <w:r>
        <w:rPr>
          <w:rFonts w:hint="eastAsia" w:eastAsia="方正仿宋_GBK" w:cs="方正仿宋_GBK"/>
          <w:sz w:val="32"/>
          <w:szCs w:val="32"/>
        </w:rPr>
        <w:t>号线、</w:t>
      </w:r>
      <w:r>
        <w:rPr>
          <w:rFonts w:eastAsia="方正仿宋_GBK"/>
          <w:sz w:val="32"/>
          <w:szCs w:val="32"/>
        </w:rPr>
        <w:t>6</w:t>
      </w:r>
      <w:r>
        <w:rPr>
          <w:rFonts w:hint="eastAsia" w:eastAsia="方正仿宋_GBK" w:cs="方正仿宋_GBK"/>
          <w:sz w:val="32"/>
          <w:szCs w:val="32"/>
        </w:rPr>
        <w:t>号线、</w:t>
      </w:r>
      <w:r>
        <w:rPr>
          <w:rFonts w:eastAsia="方正仿宋_GBK"/>
          <w:sz w:val="32"/>
          <w:szCs w:val="32"/>
        </w:rPr>
        <w:t>10</w:t>
      </w:r>
      <w:r>
        <w:rPr>
          <w:rFonts w:hint="eastAsia" w:eastAsia="方正仿宋_GBK" w:cs="方正仿宋_GBK"/>
          <w:sz w:val="32"/>
          <w:szCs w:val="32"/>
        </w:rPr>
        <w:t>号线建设和宁芜铁路外绕属地保障和周边城市空间布局的提前谋划设计，开展</w:t>
      </w:r>
      <w:r>
        <w:rPr>
          <w:rFonts w:eastAsia="方正仿宋_GBK"/>
          <w:sz w:val="32"/>
          <w:szCs w:val="32"/>
        </w:rPr>
        <w:t>TOD</w:t>
      </w:r>
      <w:r>
        <w:rPr>
          <w:rFonts w:hint="eastAsia" w:eastAsia="方正仿宋_GBK" w:cs="方正仿宋_GBK"/>
          <w:sz w:val="32"/>
          <w:szCs w:val="32"/>
        </w:rPr>
        <w:t>城市开发模式研究和提前布局。加快公共停车场库建设，提前布局安排地铁周边换乘停车泊位建设；研究公共停车场建设运营模式，引入新技术、新设备配建停车泊位，推进停车产业化；加快停车场智慧化建设，系统规划建设停车场库新能源充电设施。实现海绵城市建设全覆盖，加强城市公园体系建设，建设“点、线、面”相结合的绿地生态系统，推动机场公园、油库公园、云创公园等城市公园项目建设，改造提升七桥瓮生态湿地公园。打造滨河生态空间，完成外秦淮河、响水河环境整治，沿响水河、运粮河水系打造绿道和慢行系统。南部新城片区提高公共服务配建标准，提前布局国际化社区建设，为高端人才回流储备生活空间。</w:t>
      </w:r>
    </w:p>
    <w:tbl>
      <w:tblPr>
        <w:tblStyle w:val="12"/>
        <w:tblW w:w="5000" w:type="pct"/>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2"/>
        <w:gridCol w:w="7184"/>
      </w:tblGrid>
      <w:tr w14:paraId="2D7F8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5000" w:type="pct"/>
            <w:gridSpan w:val="2"/>
            <w:vAlign w:val="center"/>
          </w:tcPr>
          <w:p w14:paraId="4E070670">
            <w:pPr>
              <w:spacing w:line="520" w:lineRule="exact"/>
              <w:jc w:val="center"/>
              <w:rPr>
                <w:rFonts w:eastAsia="方正黑体_GBK"/>
                <w:sz w:val="24"/>
                <w:szCs w:val="24"/>
              </w:rPr>
            </w:pPr>
            <w:r>
              <w:rPr>
                <w:rFonts w:hint="eastAsia" w:eastAsia="方正黑体简体" w:cs="方正黑体简体"/>
                <w:sz w:val="24"/>
                <w:szCs w:val="24"/>
              </w:rPr>
              <w:t>专栏五：城市建设特色任务</w:t>
            </w:r>
          </w:p>
        </w:tc>
      </w:tr>
      <w:tr w14:paraId="439CD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85" w:type="pct"/>
            <w:vAlign w:val="center"/>
          </w:tcPr>
          <w:p w14:paraId="62DE202C">
            <w:pPr>
              <w:spacing w:line="420" w:lineRule="exact"/>
              <w:jc w:val="center"/>
              <w:rPr>
                <w:sz w:val="22"/>
                <w:szCs w:val="22"/>
              </w:rPr>
            </w:pPr>
            <w:r>
              <w:rPr>
                <w:rFonts w:hint="eastAsia" w:cs="宋体"/>
                <w:sz w:val="22"/>
                <w:szCs w:val="22"/>
              </w:rPr>
              <w:t>城市有机更新</w:t>
            </w:r>
          </w:p>
        </w:tc>
        <w:tc>
          <w:tcPr>
            <w:tcW w:w="4014" w:type="pct"/>
            <w:vAlign w:val="center"/>
          </w:tcPr>
          <w:p w14:paraId="537D089B">
            <w:pPr>
              <w:spacing w:line="420" w:lineRule="exact"/>
              <w:jc w:val="left"/>
              <w:rPr>
                <w:sz w:val="22"/>
                <w:szCs w:val="22"/>
              </w:rPr>
            </w:pPr>
            <w:r>
              <w:rPr>
                <w:rFonts w:hint="eastAsia" w:cs="宋体"/>
                <w:sz w:val="22"/>
                <w:szCs w:val="22"/>
              </w:rPr>
              <w:t>完成小西湖、西白菜园、李公祠、小松涛巷、双塘园、周处读书台等历史片区更新；完成石榴新村、饮虹园、尚书巷等居住类片区更新；实施荷花塘、钓鱼台等历史片区更新</w:t>
            </w:r>
          </w:p>
        </w:tc>
      </w:tr>
      <w:tr w14:paraId="3DD0B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85" w:type="pct"/>
            <w:vAlign w:val="center"/>
          </w:tcPr>
          <w:p w14:paraId="58C68254">
            <w:pPr>
              <w:spacing w:line="420" w:lineRule="exact"/>
              <w:jc w:val="center"/>
              <w:rPr>
                <w:sz w:val="22"/>
                <w:szCs w:val="22"/>
              </w:rPr>
            </w:pPr>
            <w:r>
              <w:rPr>
                <w:rFonts w:hint="eastAsia" w:cs="宋体"/>
                <w:sz w:val="22"/>
                <w:szCs w:val="22"/>
              </w:rPr>
              <w:t>海绵城市</w:t>
            </w:r>
          </w:p>
        </w:tc>
        <w:tc>
          <w:tcPr>
            <w:tcW w:w="4014" w:type="pct"/>
            <w:vAlign w:val="center"/>
          </w:tcPr>
          <w:p w14:paraId="2E5B5CB4">
            <w:pPr>
              <w:spacing w:line="420" w:lineRule="exact"/>
              <w:jc w:val="left"/>
              <w:rPr>
                <w:sz w:val="22"/>
                <w:szCs w:val="22"/>
              </w:rPr>
            </w:pPr>
            <w:r>
              <w:rPr>
                <w:rFonts w:hint="eastAsia" w:cs="宋体"/>
                <w:sz w:val="22"/>
                <w:szCs w:val="22"/>
              </w:rPr>
              <w:t>建设明外郭</w:t>
            </w:r>
            <w:r>
              <w:rPr>
                <w:sz w:val="22"/>
                <w:szCs w:val="22"/>
              </w:rPr>
              <w:t>-</w:t>
            </w:r>
            <w:r>
              <w:rPr>
                <w:rFonts w:hint="eastAsia" w:cs="宋体"/>
                <w:sz w:val="22"/>
                <w:szCs w:val="22"/>
              </w:rPr>
              <w:t>秦淮新河百里风光带（秦淮段）二期环境综合整治工程、应天东街北侧</w:t>
            </w:r>
            <w:r>
              <w:rPr>
                <w:sz w:val="22"/>
                <w:szCs w:val="22"/>
              </w:rPr>
              <w:t>1</w:t>
            </w:r>
            <w:r>
              <w:rPr>
                <w:rFonts w:hint="eastAsia" w:cs="宋体"/>
                <w:sz w:val="22"/>
                <w:szCs w:val="22"/>
              </w:rPr>
              <w:t>号调蓄池公共海绵设施等海绵城市建设项目；推动各工程建设项目按要求落实下沉式绿地等分散式雨水调蓄设施</w:t>
            </w:r>
          </w:p>
        </w:tc>
      </w:tr>
      <w:tr w14:paraId="5C442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85" w:type="pct"/>
            <w:vAlign w:val="center"/>
          </w:tcPr>
          <w:p w14:paraId="7F0532B3">
            <w:pPr>
              <w:spacing w:line="420" w:lineRule="exact"/>
              <w:jc w:val="center"/>
              <w:rPr>
                <w:rFonts w:eastAsia="方正黑体_GBK"/>
                <w:sz w:val="24"/>
                <w:szCs w:val="24"/>
              </w:rPr>
            </w:pPr>
            <w:r>
              <w:rPr>
                <w:rFonts w:hint="eastAsia" w:cs="宋体"/>
                <w:sz w:val="22"/>
                <w:szCs w:val="22"/>
              </w:rPr>
              <w:t>综合管廊</w:t>
            </w:r>
          </w:p>
        </w:tc>
        <w:tc>
          <w:tcPr>
            <w:tcW w:w="4014" w:type="pct"/>
            <w:vAlign w:val="center"/>
          </w:tcPr>
          <w:p w14:paraId="7D049D7D">
            <w:pPr>
              <w:spacing w:line="420" w:lineRule="exact"/>
              <w:jc w:val="left"/>
              <w:rPr>
                <w:rFonts w:eastAsia="方正黑体_GBK"/>
                <w:sz w:val="24"/>
                <w:szCs w:val="24"/>
              </w:rPr>
            </w:pPr>
            <w:r>
              <w:rPr>
                <w:rFonts w:hint="eastAsia" w:cs="宋体"/>
                <w:sz w:val="22"/>
                <w:szCs w:val="22"/>
              </w:rPr>
              <w:t>建设纬七路等一批干、支结合综合管廊项目，总长度达</w:t>
            </w:r>
            <w:r>
              <w:rPr>
                <w:sz w:val="22"/>
                <w:szCs w:val="22"/>
              </w:rPr>
              <w:t>26</w:t>
            </w:r>
            <w:r>
              <w:rPr>
                <w:rFonts w:hint="eastAsia" w:cs="宋体"/>
                <w:sz w:val="22"/>
                <w:szCs w:val="22"/>
              </w:rPr>
              <w:t>公里</w:t>
            </w:r>
          </w:p>
        </w:tc>
      </w:tr>
    </w:tbl>
    <w:p w14:paraId="70E33BAF">
      <w:pPr>
        <w:pStyle w:val="4"/>
        <w:keepNext w:val="0"/>
        <w:keepLines w:val="0"/>
        <w:spacing w:beforeLines="100" w:afterLines="100" w:line="540" w:lineRule="exact"/>
        <w:jc w:val="center"/>
        <w:rPr>
          <w:rFonts w:ascii="方正黑体_GBK" w:hAnsi="方正黑体_GBK" w:eastAsia="方正黑体_GBK" w:cs="Times New Roman"/>
          <w:b w:val="0"/>
          <w:bCs w:val="0"/>
        </w:rPr>
      </w:pPr>
      <w:r>
        <w:rPr>
          <w:rFonts w:ascii="方正黑体_GBK" w:hAnsi="方正黑体_GBK" w:eastAsia="方正黑体_GBK" w:cs="Times New Roman"/>
          <w:b w:val="0"/>
          <w:bCs w:val="0"/>
        </w:rPr>
        <w:tab/>
      </w:r>
      <w:bookmarkStart w:id="130" w:name="_Toc60466277"/>
      <w:r>
        <w:rPr>
          <w:rFonts w:hint="eastAsia" w:ascii="方正黑体_GBK" w:hAnsi="方正黑体_GBK" w:eastAsia="方正黑体_GBK" w:cs="方正黑体_GBK"/>
          <w:b w:val="0"/>
          <w:bCs w:val="0"/>
        </w:rPr>
        <w:t>第十八章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持续提升生态环境质量</w:t>
      </w:r>
      <w:bookmarkEnd w:id="130"/>
    </w:p>
    <w:p w14:paraId="489934DD">
      <w:pPr>
        <w:pStyle w:val="5"/>
        <w:spacing w:after="200" w:line="520" w:lineRule="exact"/>
        <w:jc w:val="center"/>
        <w:rPr>
          <w:rFonts w:ascii="方正楷体_GBK" w:hAnsi="方正楷体_GBK" w:eastAsia="方正楷体_GBK"/>
          <w:b w:val="0"/>
          <w:bCs w:val="0"/>
        </w:rPr>
      </w:pPr>
      <w:bookmarkStart w:id="131" w:name="_Toc60466278"/>
      <w:r>
        <w:rPr>
          <w:rFonts w:hint="eastAsia" w:ascii="方正楷体_GBK" w:hAnsi="方正楷体_GBK" w:eastAsia="方正楷体_GBK" w:cs="方正楷体_GBK"/>
          <w:b w:val="0"/>
          <w:bCs w:val="0"/>
        </w:rPr>
        <w:t>第一节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持续改善大气环境质量</w:t>
      </w:r>
      <w:bookmarkEnd w:id="131"/>
    </w:p>
    <w:p w14:paraId="49855989">
      <w:pPr>
        <w:spacing w:line="590" w:lineRule="exact"/>
        <w:ind w:firstLine="629"/>
        <w:rPr>
          <w:rFonts w:eastAsia="方正仿宋_GBK"/>
          <w:sz w:val="32"/>
          <w:szCs w:val="32"/>
        </w:rPr>
      </w:pPr>
      <w:r>
        <w:rPr>
          <w:rFonts w:hint="eastAsia" w:eastAsia="方正仿宋_GBK" w:cs="方正仿宋_GBK"/>
          <w:sz w:val="32"/>
          <w:szCs w:val="32"/>
        </w:rPr>
        <w:t>抓好污染减排，强化涉气排放企业的废气污染防治，确保达标排放。加强扬尘污染日常管理和执法检查力度，落实各项管控措施，使扬尘治理更有成效。加大移动源污染防治力度，实施国六排放标准，开展高排放车辆、非道路移动机械尾气的达标治理，推广使用新能源车。控制餐饮油烟污染，继续开展专项治理，推进餐饮企业油烟在线监测，开展重点区域居民油烟集中收集净化处理。用好污染防治智能化指挥平台，融合国控点、油烟在线监测、</w:t>
      </w:r>
      <w:r>
        <w:rPr>
          <w:rFonts w:eastAsia="方正仿宋_GBK"/>
          <w:sz w:val="32"/>
          <w:szCs w:val="32"/>
        </w:rPr>
        <w:t>VOCs</w:t>
      </w:r>
      <w:r>
        <w:rPr>
          <w:rFonts w:hint="eastAsia" w:eastAsia="方正仿宋_GBK" w:cs="方正仿宋_GBK"/>
          <w:sz w:val="32"/>
          <w:szCs w:val="32"/>
        </w:rPr>
        <w:t>在线监测等数据，构成空、天、地、人、技相结合的多指标监测体系，对大气污染源进行科学分析研判，实现精准追溯、精细监管和精确执法。建立多部门指挥调度体系，实现污染源处置和大气污染的全流程闭环监管。到</w:t>
      </w:r>
      <w:r>
        <w:rPr>
          <w:rFonts w:eastAsia="方正仿宋_GBK"/>
          <w:sz w:val="32"/>
          <w:szCs w:val="32"/>
        </w:rPr>
        <w:t>2025</w:t>
      </w:r>
      <w:r>
        <w:rPr>
          <w:rFonts w:hint="eastAsia" w:eastAsia="方正仿宋_GBK" w:cs="方正仿宋_GBK"/>
          <w:sz w:val="32"/>
          <w:szCs w:val="32"/>
        </w:rPr>
        <w:t>年，空气质量达到二级标准天数比例达</w:t>
      </w:r>
      <w:r>
        <w:rPr>
          <w:rFonts w:eastAsia="方正仿宋_GBK"/>
          <w:sz w:val="32"/>
          <w:szCs w:val="32"/>
        </w:rPr>
        <w:t>80%</w:t>
      </w:r>
      <w:r>
        <w:rPr>
          <w:rFonts w:hint="eastAsia" w:eastAsia="方正仿宋_GBK" w:cs="方正仿宋_GBK"/>
          <w:sz w:val="32"/>
          <w:szCs w:val="32"/>
        </w:rPr>
        <w:t>。</w:t>
      </w:r>
    </w:p>
    <w:p w14:paraId="60EDEA8C">
      <w:pPr>
        <w:pStyle w:val="5"/>
        <w:spacing w:after="200" w:line="520" w:lineRule="exact"/>
        <w:jc w:val="center"/>
        <w:rPr>
          <w:rFonts w:ascii="方正楷体_GBK" w:hAnsi="方正楷体_GBK" w:eastAsia="方正楷体_GBK"/>
          <w:b w:val="0"/>
          <w:bCs w:val="0"/>
        </w:rPr>
      </w:pPr>
      <w:bookmarkStart w:id="132" w:name="_Toc60466279"/>
      <w:r>
        <w:rPr>
          <w:rFonts w:hint="eastAsia" w:ascii="方正楷体_GBK" w:hAnsi="方正楷体_GBK" w:eastAsia="方正楷体_GBK" w:cs="方正楷体_GBK"/>
          <w:b w:val="0"/>
          <w:bCs w:val="0"/>
        </w:rPr>
        <w:t>第二节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加快推进美丽河湖建设</w:t>
      </w:r>
      <w:bookmarkEnd w:id="132"/>
    </w:p>
    <w:p w14:paraId="06B367F5">
      <w:pPr>
        <w:spacing w:line="590" w:lineRule="exact"/>
        <w:ind w:firstLine="629"/>
        <w:rPr>
          <w:rFonts w:eastAsia="方正仿宋_GBK"/>
          <w:sz w:val="32"/>
          <w:szCs w:val="32"/>
        </w:rPr>
      </w:pPr>
      <w:r>
        <w:rPr>
          <w:rFonts w:hint="eastAsia" w:eastAsia="方正仿宋_GBK" w:cs="方正仿宋_GBK"/>
          <w:sz w:val="32"/>
          <w:szCs w:val="32"/>
        </w:rPr>
        <w:t>持续推进水系流域花园建设，在最优水质、最美岸线、最好管理上下功夫，树立美丽河湖秦淮样板。高质量推进水生态网络建设，巩固全域四类水整治成果，持续开展河湖水环境治理，完成外秦淮河清淤整治工程，补齐城市暗涵、初期雨水调蓄等短板，推进月牙湖、运粮河等河道生态修复，完成愚园等小微水体生态治理。建立全域河湖引水调度，完善内秦淮河水系精准生态补水方案，推进象房村净水站二期工程建设，落实运维长效机制。修订防洪河道洪水风险图，实施堤防加固、河道清淤疏浚、排涝泵站改造等防汛工程，深入开展雨污分流和排水管网建设，实施建康路、旭光西路等积淹水片区改造，提升整体防洪能力。高标准推进滨水岸线景观建设提升，合理控制河湖景观水位，增加亲水平台和开放空间，优化更新沿河绿化，打开郁闭空间，建设滨水花带、花廊、花海串起秦淮水生态美景，将“三湖六河”建成南京滨水城市客厅、网红打卡地。高水平推进水务五位一体管养，全面落实“河长制”和“断面长制”，严管河道蓝线，严控入河污染源，削减面源污染，落实河湖、排水管网专业化管养，推进“智慧水务”建设，构建全市领先的河湖综合管理长效运维机制。</w:t>
      </w:r>
    </w:p>
    <w:p w14:paraId="707F3546">
      <w:pPr>
        <w:pStyle w:val="5"/>
        <w:spacing w:after="200" w:line="520" w:lineRule="exact"/>
        <w:jc w:val="center"/>
        <w:rPr>
          <w:rFonts w:ascii="方正楷体_GBK" w:hAnsi="方正楷体_GBK" w:eastAsia="方正楷体_GBK"/>
          <w:b w:val="0"/>
          <w:bCs w:val="0"/>
        </w:rPr>
      </w:pPr>
      <w:bookmarkStart w:id="133" w:name="_Toc60466280"/>
      <w:r>
        <w:rPr>
          <w:rFonts w:hint="eastAsia" w:ascii="方正楷体_GBK" w:hAnsi="方正楷体_GBK" w:eastAsia="方正楷体_GBK" w:cs="方正楷体_GBK"/>
          <w:b w:val="0"/>
          <w:bCs w:val="0"/>
        </w:rPr>
        <w:t>第三节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全面做好垃圾分类管理</w:t>
      </w:r>
      <w:bookmarkEnd w:id="133"/>
    </w:p>
    <w:p w14:paraId="7A7C167B">
      <w:pPr>
        <w:spacing w:line="590" w:lineRule="exact"/>
        <w:ind w:firstLine="629"/>
        <w:rPr>
          <w:rFonts w:eastAsia="方正仿宋_GBK"/>
          <w:sz w:val="32"/>
          <w:szCs w:val="32"/>
        </w:rPr>
      </w:pPr>
      <w:r>
        <w:rPr>
          <w:rFonts w:hint="eastAsia" w:eastAsia="方正仿宋_GBK" w:cs="方正仿宋_GBK"/>
          <w:sz w:val="32"/>
          <w:szCs w:val="32"/>
        </w:rPr>
        <w:t>以减量化、资源化、无害化为目标，推进垃圾分类提质增效。加强生活垃圾减量，推动源头减量，强化社区宣传发动，居民参与率超</w:t>
      </w:r>
      <w:r>
        <w:rPr>
          <w:rFonts w:eastAsia="方正仿宋_GBK"/>
          <w:sz w:val="32"/>
          <w:szCs w:val="32"/>
        </w:rPr>
        <w:t>90%</w:t>
      </w:r>
      <w:r>
        <w:rPr>
          <w:rFonts w:hint="eastAsia" w:eastAsia="方正仿宋_GBK" w:cs="方正仿宋_GBK"/>
          <w:sz w:val="32"/>
          <w:szCs w:val="32"/>
        </w:rPr>
        <w:t>，垃圾分类设施提升改造率达</w:t>
      </w:r>
      <w:r>
        <w:rPr>
          <w:rFonts w:eastAsia="方正仿宋_GBK"/>
          <w:sz w:val="32"/>
          <w:szCs w:val="32"/>
        </w:rPr>
        <w:t>100%</w:t>
      </w:r>
      <w:r>
        <w:rPr>
          <w:rFonts w:hint="eastAsia" w:eastAsia="方正仿宋_GBK" w:cs="方正仿宋_GBK"/>
          <w:sz w:val="32"/>
          <w:szCs w:val="32"/>
        </w:rPr>
        <w:t>。建立街道、社区、投放管理人三级责任体系，强化重点单位执法检查力度，以监管处罚倒逼自觉分类常态化，居民小区生活垃圾分类达标率</w:t>
      </w:r>
      <w:r>
        <w:rPr>
          <w:rFonts w:eastAsia="方正仿宋_GBK"/>
          <w:sz w:val="32"/>
          <w:szCs w:val="32"/>
        </w:rPr>
        <w:t>100%</w:t>
      </w:r>
      <w:r>
        <w:rPr>
          <w:rFonts w:hint="eastAsia" w:eastAsia="方正仿宋_GBK" w:cs="方正仿宋_GBK"/>
          <w:sz w:val="32"/>
          <w:szCs w:val="32"/>
        </w:rPr>
        <w:t>，垃圾分类减量工作走在全市前列。推进分类设施建设，新建居民小区垃圾分类配套设施全面达标，建设废弃物综合处置中心、大件垃圾分解、餐厨垃圾处理、有毒有害垃圾分拣中心等。新建白下科技园中转站，改造</w:t>
      </w:r>
      <w:r>
        <w:rPr>
          <w:rFonts w:eastAsia="方正仿宋_GBK"/>
          <w:sz w:val="32"/>
          <w:szCs w:val="32"/>
        </w:rPr>
        <w:t>4</w:t>
      </w:r>
      <w:r>
        <w:rPr>
          <w:rFonts w:hint="eastAsia" w:eastAsia="方正仿宋_GBK" w:cs="方正仿宋_GBK"/>
          <w:sz w:val="32"/>
          <w:szCs w:val="32"/>
        </w:rPr>
        <w:t>座中转站；提升双桥门厨余垃圾垃圾中转站环境和管理标准，中转站污水处理设施、除臭设施配备率达</w:t>
      </w:r>
      <w:r>
        <w:rPr>
          <w:rFonts w:eastAsia="方正仿宋_GBK"/>
          <w:sz w:val="32"/>
          <w:szCs w:val="32"/>
        </w:rPr>
        <w:t>100%</w:t>
      </w:r>
      <w:r>
        <w:rPr>
          <w:rFonts w:hint="eastAsia" w:eastAsia="方正仿宋_GBK" w:cs="方正仿宋_GBK"/>
          <w:sz w:val="32"/>
          <w:szCs w:val="32"/>
        </w:rPr>
        <w:t>。垃圾精细化收运全覆盖，形成全程分类收运体系，实现定时、定点、分类、分车精准作业。加强车容车貌管理，加强渣土车运输规范化管理，对清运过程中跑冒滴漏、垃圾拖挂现象进行监管处罚，严禁“混装混运”。</w:t>
      </w:r>
    </w:p>
    <w:p w14:paraId="7E5734A5">
      <w:pPr>
        <w:pStyle w:val="5"/>
        <w:spacing w:after="200" w:line="520" w:lineRule="exact"/>
        <w:jc w:val="center"/>
        <w:rPr>
          <w:rFonts w:ascii="方正楷体_GBK" w:hAnsi="方正楷体_GBK" w:eastAsia="方正楷体_GBK"/>
          <w:b w:val="0"/>
          <w:bCs w:val="0"/>
        </w:rPr>
      </w:pPr>
      <w:bookmarkStart w:id="134" w:name="_Toc60466281"/>
      <w:r>
        <w:rPr>
          <w:rFonts w:hint="eastAsia" w:ascii="方正楷体_GBK" w:hAnsi="方正楷体_GBK" w:eastAsia="方正楷体_GBK" w:cs="方正楷体_GBK"/>
          <w:b w:val="0"/>
          <w:bCs w:val="0"/>
        </w:rPr>
        <w:t>第四节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系统完善生态文明治理</w:t>
      </w:r>
      <w:bookmarkEnd w:id="134"/>
    </w:p>
    <w:p w14:paraId="233C969D">
      <w:pPr>
        <w:spacing w:line="590" w:lineRule="exact"/>
        <w:ind w:firstLine="629"/>
        <w:rPr>
          <w:rFonts w:eastAsia="方正仿宋_GBK"/>
          <w:sz w:val="32"/>
          <w:szCs w:val="32"/>
        </w:rPr>
      </w:pPr>
      <w:r>
        <w:rPr>
          <w:rFonts w:hint="eastAsia" w:eastAsia="方正仿宋_GBK" w:cs="方正仿宋_GBK"/>
          <w:sz w:val="32"/>
          <w:szCs w:val="32"/>
        </w:rPr>
        <w:t>落实环保责任，建立健全生态环境监测、执法和损害赔偿制度。探索实行生态环境损害责任终身追究制，实现生态环保突出问题闭环管理。优化能源消费结构，实施能源消耗总量和强度双控。探索建立新城环境权益和生态产品产权交易体系，实施碳排放交易试点工程，探路先行“零碳小区”发展模式，推动生态资源向生态资本转化。完善“政府补贴</w:t>
      </w:r>
      <w:r>
        <w:rPr>
          <w:rFonts w:eastAsia="方正仿宋_GBK"/>
          <w:sz w:val="32"/>
          <w:szCs w:val="32"/>
        </w:rPr>
        <w:t>+</w:t>
      </w:r>
      <w:r>
        <w:rPr>
          <w:rFonts w:hint="eastAsia" w:eastAsia="方正仿宋_GBK" w:cs="方正仿宋_GBK"/>
          <w:sz w:val="32"/>
          <w:szCs w:val="32"/>
        </w:rPr>
        <w:t>第三方治理</w:t>
      </w:r>
      <w:r>
        <w:rPr>
          <w:rFonts w:eastAsia="方正仿宋_GBK"/>
          <w:sz w:val="32"/>
          <w:szCs w:val="32"/>
        </w:rPr>
        <w:t>+</w:t>
      </w:r>
      <w:r>
        <w:rPr>
          <w:rFonts w:hint="eastAsia" w:eastAsia="方正仿宋_GBK" w:cs="方正仿宋_GBK"/>
          <w:sz w:val="32"/>
          <w:szCs w:val="32"/>
        </w:rPr>
        <w:t>税收优惠”联动机制，健全环境污染责任险和环境信用评价、信息强制性披露等政策机制，完善环境治理社会监督机制。</w:t>
      </w:r>
    </w:p>
    <w:p w14:paraId="0E0FAA4F">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135" w:name="_Toc60466282"/>
      <w:r>
        <w:rPr>
          <w:rFonts w:hint="eastAsia" w:ascii="方正黑体_GBK" w:hAnsi="方正黑体_GBK" w:eastAsia="方正黑体_GBK" w:cs="方正黑体_GBK"/>
          <w:b w:val="0"/>
          <w:bCs w:val="0"/>
        </w:rPr>
        <w:t>第十九章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加强城市精细化管理</w:t>
      </w:r>
      <w:bookmarkEnd w:id="135"/>
    </w:p>
    <w:p w14:paraId="490A635B">
      <w:pPr>
        <w:pStyle w:val="5"/>
        <w:spacing w:after="200" w:line="520" w:lineRule="exact"/>
        <w:jc w:val="center"/>
        <w:rPr>
          <w:rFonts w:ascii="方正楷体_GBK" w:hAnsi="方正楷体_GBK" w:eastAsia="方正楷体_GBK"/>
          <w:b w:val="0"/>
          <w:bCs w:val="0"/>
        </w:rPr>
      </w:pPr>
      <w:bookmarkStart w:id="136" w:name="_Toc60466283"/>
      <w:r>
        <w:rPr>
          <w:rFonts w:hint="eastAsia" w:ascii="方正楷体_GBK" w:hAnsi="方正楷体_GBK" w:eastAsia="方正楷体_GBK" w:cs="方正楷体_GBK"/>
          <w:b w:val="0"/>
          <w:bCs w:val="0"/>
        </w:rPr>
        <w:t>第一节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全力建设美丽街区</w:t>
      </w:r>
      <w:bookmarkEnd w:id="136"/>
    </w:p>
    <w:p w14:paraId="7AD185C9">
      <w:pPr>
        <w:spacing w:line="590" w:lineRule="exact"/>
        <w:ind w:firstLine="629"/>
        <w:rPr>
          <w:rFonts w:eastAsia="方正仿宋_GBK"/>
          <w:sz w:val="32"/>
          <w:szCs w:val="32"/>
        </w:rPr>
      </w:pPr>
      <w:r>
        <w:rPr>
          <w:rFonts w:hint="eastAsia" w:eastAsia="方正仿宋_GBK" w:cs="方正仿宋_GBK"/>
          <w:sz w:val="32"/>
          <w:szCs w:val="32"/>
        </w:rPr>
        <w:t>开展深度保洁行动，完善秦淮特色的综合养护模式，建立标准化指挥调度体系，推动全区道路精细化、立体化保洁全覆盖，继续保持全市领先地位。实行墙到墙保洁，道路两侧可视范围内全覆盖，消除道路红线外保洁盲区，主次干道机扫率</w:t>
      </w:r>
      <w:r>
        <w:rPr>
          <w:rFonts w:eastAsia="方正仿宋_GBK"/>
          <w:sz w:val="32"/>
          <w:szCs w:val="32"/>
        </w:rPr>
        <w:t>100%</w:t>
      </w:r>
      <w:r>
        <w:rPr>
          <w:rFonts w:hint="eastAsia" w:eastAsia="方正仿宋_GBK" w:cs="方正仿宋_GBK"/>
          <w:sz w:val="32"/>
          <w:szCs w:val="32"/>
        </w:rPr>
        <w:t>，核心区域水扫率</w:t>
      </w:r>
      <w:r>
        <w:rPr>
          <w:rFonts w:eastAsia="方正仿宋_GBK"/>
          <w:sz w:val="32"/>
          <w:szCs w:val="32"/>
        </w:rPr>
        <w:t>90%</w:t>
      </w:r>
      <w:r>
        <w:rPr>
          <w:rFonts w:hint="eastAsia" w:eastAsia="方正仿宋_GBK" w:cs="方正仿宋_GBK"/>
          <w:sz w:val="32"/>
          <w:szCs w:val="32"/>
        </w:rPr>
        <w:t>，确保国控点、景区、商业核心区周边路段积尘量不超过</w:t>
      </w:r>
      <w:r>
        <w:rPr>
          <w:rFonts w:eastAsia="方正仿宋_GBK"/>
          <w:sz w:val="32"/>
          <w:szCs w:val="32"/>
        </w:rPr>
        <w:t>1g/</w:t>
      </w:r>
      <w:r>
        <w:rPr>
          <w:rFonts w:hint="eastAsia" w:eastAsia="方正仿宋_GBK" w:cs="方正仿宋_GBK"/>
          <w:sz w:val="32"/>
          <w:szCs w:val="32"/>
        </w:rPr>
        <w:t>㎡。持续推进厕所革命，打造秦淮特色公厕，提升公厕服务品质和居民如厕满意度。建立道路、桥梁的全周期健康评估机制，落实大中修专项保障，市政设施优良率超</w:t>
      </w:r>
      <w:r>
        <w:rPr>
          <w:rFonts w:eastAsia="方正仿宋_GBK"/>
          <w:sz w:val="32"/>
          <w:szCs w:val="32"/>
        </w:rPr>
        <w:t>95%</w:t>
      </w:r>
      <w:r>
        <w:rPr>
          <w:rFonts w:hint="eastAsia" w:eastAsia="方正仿宋_GBK" w:cs="方正仿宋_GBK"/>
          <w:sz w:val="32"/>
          <w:szCs w:val="32"/>
        </w:rPr>
        <w:t>。完善“街巷长”制度，推进“微整治、微执法”快速处理，推动“门前三包”责任落实，加强非机动车停放管理。加强道路停车管理，推进企事业单位停车场错时开放，推行泊位共享、动态调整、分时计费，道路泊位周转率提高</w:t>
      </w:r>
      <w:r>
        <w:rPr>
          <w:rFonts w:eastAsia="方正仿宋_GBK"/>
          <w:sz w:val="32"/>
          <w:szCs w:val="32"/>
        </w:rPr>
        <w:t>60%</w:t>
      </w:r>
      <w:r>
        <w:rPr>
          <w:rFonts w:hint="eastAsia" w:eastAsia="方正仿宋_GBK" w:cs="方正仿宋_GBK"/>
          <w:sz w:val="32"/>
          <w:szCs w:val="32"/>
        </w:rPr>
        <w:t>，有效缓解老城区停车难。开展街头美化行动，修编户外广告设置控制性详细规划，整治违法户外广告店招，净化空间、减量提档。健全违建治理工作协调、督查机制，强化属地管理和物业公司监管主体责任，以销号方式加大重点违建拆除力度，实现违建零增长。保护“绿色文物”，建立古树名木保护长效机制，实施千株行道树保护更新行动，全面提升园林绿化应急能力。编制美丽秦淮彩化规划，持续推进道路绿化微更新，打造口袋公园绿地，增加节点彩化，实现“三季有花、四季有景”。提高公园绿地服务半径覆盖率，营造“树洞画”、“石球画”等城市角落之美。</w:t>
      </w:r>
    </w:p>
    <w:p w14:paraId="41140FA3">
      <w:pPr>
        <w:pStyle w:val="5"/>
        <w:spacing w:after="200" w:line="520" w:lineRule="exact"/>
        <w:jc w:val="center"/>
        <w:rPr>
          <w:rFonts w:ascii="方正楷体_GBK" w:hAnsi="方正楷体_GBK" w:eastAsia="方正楷体_GBK"/>
          <w:b w:val="0"/>
          <w:bCs w:val="0"/>
        </w:rPr>
      </w:pPr>
      <w:bookmarkStart w:id="137" w:name="_Toc60466284"/>
      <w:r>
        <w:rPr>
          <w:rFonts w:hint="eastAsia" w:ascii="方正楷体_GBK" w:hAnsi="方正楷体_GBK" w:eastAsia="方正楷体_GBK" w:cs="方正楷体_GBK"/>
          <w:b w:val="0"/>
          <w:bCs w:val="0"/>
        </w:rPr>
        <w:t>第二节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合力建设美丽家园</w:t>
      </w:r>
      <w:bookmarkEnd w:id="137"/>
    </w:p>
    <w:p w14:paraId="5670169C">
      <w:pPr>
        <w:spacing w:line="590" w:lineRule="exact"/>
        <w:ind w:firstLine="629"/>
        <w:rPr>
          <w:rFonts w:eastAsia="方正仿宋_GBK"/>
          <w:sz w:val="32"/>
          <w:szCs w:val="32"/>
        </w:rPr>
      </w:pPr>
      <w:r>
        <w:rPr>
          <w:rFonts w:hint="eastAsia" w:eastAsia="方正仿宋_GBK" w:cs="方正仿宋_GBK"/>
          <w:sz w:val="32"/>
          <w:szCs w:val="32"/>
        </w:rPr>
        <w:t>深化党建引领，推进“红色物业”示范项目建设，着力深化党组织领导下的居委会、业主委员会和物业服务企业“三方联动”机制，通过民主协商等形式对小区重大事项，共同研究方案。健全组织机构，充分发挥街道“两站一中心”作用，对已落实物业管理的老旧小区按照市、区老旧小区管理标准及物业服务合同约定进行指导、检查和考核，提升小区卫生保洁、绿化养护以及公用设施维护等服务水准；探索示范小区智能化建设，提升管理效能和为民服务水平。强化行业监管，优化物业服务考核制度，进一步扩大物业服务考核范围，严格执行物业服务企业备案承诺制度，完善物业服务企业“黑名单”制度和市场退出机制，营造“优胜劣汰、失信失业”的健康市场环境，促进行业、企业及从业人员依法履约、守信经营；建立健全老旧小区住宅专项维修资金归集、使用、续筹机制，促进小区改造后维护更新进入良性轨道。</w:t>
      </w:r>
    </w:p>
    <w:p w14:paraId="7D04408B">
      <w:pPr>
        <w:spacing w:line="520" w:lineRule="exact"/>
      </w:pPr>
    </w:p>
    <w:p w14:paraId="4CCCBD08">
      <w:pPr>
        <w:spacing w:line="700" w:lineRule="exact"/>
        <w:jc w:val="center"/>
        <w:outlineLvl w:val="0"/>
        <w:rPr>
          <w:rFonts w:ascii="方正小标宋_GBK" w:eastAsia="方正小标宋_GBK"/>
          <w:kern w:val="44"/>
          <w:sz w:val="44"/>
          <w:szCs w:val="44"/>
        </w:rPr>
      </w:pPr>
      <w:bookmarkStart w:id="138" w:name="_Toc60466285"/>
    </w:p>
    <w:p w14:paraId="3B1372CB">
      <w:pPr>
        <w:spacing w:line="700" w:lineRule="exact"/>
        <w:jc w:val="center"/>
        <w:outlineLvl w:val="0"/>
        <w:rPr>
          <w:rFonts w:ascii="方正小标宋_GBK" w:eastAsia="方正小标宋_GBK"/>
          <w:kern w:val="44"/>
          <w:sz w:val="44"/>
          <w:szCs w:val="44"/>
        </w:rPr>
      </w:pPr>
      <w:r>
        <w:rPr>
          <w:rFonts w:hint="eastAsia" w:ascii="方正小标宋_GBK" w:eastAsia="方正小标宋_GBK" w:cs="方正小标宋_GBK"/>
          <w:kern w:val="44"/>
          <w:sz w:val="44"/>
          <w:szCs w:val="44"/>
        </w:rPr>
        <w:t>第七篇</w:t>
      </w:r>
      <w:r>
        <w:rPr>
          <w:rFonts w:ascii="方正小标宋_GBK" w:eastAsia="方正小标宋_GBK" w:cs="方正小标宋_GBK"/>
          <w:kern w:val="44"/>
          <w:sz w:val="44"/>
          <w:szCs w:val="44"/>
        </w:rPr>
        <w:t xml:space="preserve"> </w:t>
      </w:r>
      <w:r>
        <w:rPr>
          <w:rFonts w:hint="eastAsia" w:ascii="方正小标宋_GBK" w:eastAsia="方正小标宋_GBK" w:cs="方正小标宋_GBK"/>
          <w:kern w:val="44"/>
          <w:sz w:val="44"/>
          <w:szCs w:val="44"/>
        </w:rPr>
        <w:t>提升民生服务质量，坚持共同富裕方向，增添上善秦淮服务新温度</w:t>
      </w:r>
      <w:bookmarkEnd w:id="138"/>
    </w:p>
    <w:p w14:paraId="279E4BC0">
      <w:pPr>
        <w:spacing w:line="520" w:lineRule="exact"/>
        <w:ind w:firstLine="640" w:firstLineChars="200"/>
        <w:rPr>
          <w:rFonts w:eastAsia="方正仿宋_GBK"/>
          <w:sz w:val="32"/>
          <w:szCs w:val="32"/>
          <w:shd w:val="clear" w:color="auto" w:fill="FFFFFF"/>
        </w:rPr>
      </w:pPr>
    </w:p>
    <w:p w14:paraId="0C910DC6">
      <w:pPr>
        <w:spacing w:line="590" w:lineRule="exact"/>
        <w:ind w:firstLine="629"/>
        <w:rPr>
          <w:rFonts w:eastAsia="方正仿宋_GBK"/>
          <w:sz w:val="32"/>
          <w:szCs w:val="32"/>
        </w:rPr>
      </w:pPr>
      <w:r>
        <w:rPr>
          <w:rFonts w:hint="eastAsia" w:eastAsia="方正仿宋_GBK" w:cs="方正仿宋_GBK"/>
          <w:sz w:val="32"/>
          <w:szCs w:val="32"/>
        </w:rPr>
        <w:t>坚持人民为中心理念，坚持共同富裕方向，围绕建设人的现代化水平提升和全生命周期保障，加快补齐公共服务短板，扎实推进富民增收，强化特定群体托底保障，健全完善全面社会保障体系，推进教育、医疗、养老、住房等公共服务高质量发展，努力满足人民群众的美好生活需要。</w:t>
      </w:r>
    </w:p>
    <w:p w14:paraId="5F43BCA3">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139" w:name="_Toc60466286"/>
      <w:r>
        <w:rPr>
          <w:rFonts w:hint="eastAsia" w:ascii="方正黑体_GBK" w:hAnsi="方正黑体_GBK" w:eastAsia="方正黑体_GBK" w:cs="方正黑体_GBK"/>
          <w:b w:val="0"/>
          <w:bCs w:val="0"/>
        </w:rPr>
        <w:t>第二十章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优化民生公共服务</w:t>
      </w:r>
      <w:bookmarkEnd w:id="139"/>
      <w:r>
        <w:rPr>
          <w:rFonts w:hint="eastAsia" w:ascii="方正黑体_GBK" w:hAnsi="方正黑体_GBK" w:eastAsia="方正黑体_GBK" w:cs="方正黑体_GBK"/>
          <w:b w:val="0"/>
          <w:bCs w:val="0"/>
        </w:rPr>
        <w:t>供给</w:t>
      </w:r>
    </w:p>
    <w:p w14:paraId="39AA1E64">
      <w:pPr>
        <w:pStyle w:val="5"/>
        <w:spacing w:after="200" w:line="520" w:lineRule="exact"/>
        <w:jc w:val="center"/>
        <w:rPr>
          <w:rFonts w:ascii="方正楷体_GBK" w:hAnsi="方正楷体_GBK" w:eastAsia="方正楷体_GBK"/>
          <w:b w:val="0"/>
          <w:bCs w:val="0"/>
        </w:rPr>
      </w:pPr>
      <w:bookmarkStart w:id="140" w:name="_Toc60466287"/>
      <w:r>
        <w:rPr>
          <w:rFonts w:hint="eastAsia" w:ascii="方正楷体_GBK" w:hAnsi="方正楷体_GBK" w:eastAsia="方正楷体_GBK" w:cs="方正楷体_GBK"/>
          <w:b w:val="0"/>
          <w:bCs w:val="0"/>
        </w:rPr>
        <w:t>第一节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推进基本公共服务均衡配置</w:t>
      </w:r>
      <w:bookmarkEnd w:id="140"/>
    </w:p>
    <w:p w14:paraId="10C7D2DF">
      <w:pPr>
        <w:spacing w:line="590" w:lineRule="exact"/>
        <w:ind w:firstLine="629"/>
        <w:rPr>
          <w:rFonts w:eastAsia="方正仿宋_GBK"/>
          <w:sz w:val="32"/>
          <w:szCs w:val="32"/>
        </w:rPr>
      </w:pPr>
      <w:r>
        <w:rPr>
          <w:rFonts w:hint="eastAsia" w:eastAsia="方正仿宋_GBK" w:cs="方正仿宋_GBK"/>
          <w:sz w:val="32"/>
          <w:szCs w:val="32"/>
        </w:rPr>
        <w:t>逐步提高公共财政民生支出占比，加大基本公共服务向薄弱环节、重点人群倾斜，提高基本公共服务配置均等化水平。在南部新城建设和老城保护更新中，优先保障基本公共服务设施配置，统筹运用各领域公共资源，推进科学布局、均衡配置和优化整合，促进基本公共服务配置区域均衡。</w:t>
      </w:r>
    </w:p>
    <w:p w14:paraId="3B38BDC2">
      <w:pPr>
        <w:pStyle w:val="5"/>
        <w:spacing w:after="200" w:line="520" w:lineRule="exact"/>
        <w:jc w:val="center"/>
        <w:rPr>
          <w:rFonts w:ascii="方正楷体_GBK" w:hAnsi="方正楷体_GBK" w:eastAsia="方正楷体_GBK"/>
          <w:b w:val="0"/>
          <w:bCs w:val="0"/>
        </w:rPr>
      </w:pPr>
      <w:bookmarkStart w:id="141" w:name="_Toc60466288"/>
      <w:r>
        <w:rPr>
          <w:rFonts w:hint="eastAsia" w:ascii="方正楷体_GBK" w:hAnsi="方正楷体_GBK" w:eastAsia="方正楷体_GBK" w:cs="方正楷体_GBK"/>
          <w:b w:val="0"/>
          <w:bCs w:val="0"/>
        </w:rPr>
        <w:t>第二节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科学规划使用公共服务资源</w:t>
      </w:r>
      <w:bookmarkEnd w:id="141"/>
    </w:p>
    <w:p w14:paraId="639348CD">
      <w:pPr>
        <w:spacing w:line="590" w:lineRule="exact"/>
        <w:ind w:firstLine="629"/>
        <w:rPr>
          <w:rFonts w:eastAsia="方正仿宋_GBK"/>
          <w:sz w:val="32"/>
          <w:szCs w:val="32"/>
        </w:rPr>
      </w:pPr>
      <w:r>
        <w:rPr>
          <w:rFonts w:hint="eastAsia" w:eastAsia="方正仿宋_GBK" w:cs="方正仿宋_GBK"/>
          <w:sz w:val="32"/>
          <w:szCs w:val="32"/>
        </w:rPr>
        <w:t>老城片区突出公共服务空间复合功能和集约利用，优化推广“邻里中心”模式，一站式解决居民文化体育、医疗卫生、养老服务、社区管理及商业等日常生活服务需求，促进公共服务资源的有效整合和统筹利用。新城片区突出公共服务载体与城市公共交通系统融合规划布局，以轨道交通等公共交通站点为核心，在</w:t>
      </w:r>
      <w:r>
        <w:rPr>
          <w:rFonts w:eastAsia="方正仿宋_GBK"/>
          <w:sz w:val="32"/>
          <w:szCs w:val="32"/>
        </w:rPr>
        <w:t>5-10</w:t>
      </w:r>
      <w:r>
        <w:rPr>
          <w:rFonts w:hint="eastAsia" w:eastAsia="方正仿宋_GBK" w:cs="方正仿宋_GBK"/>
          <w:sz w:val="32"/>
          <w:szCs w:val="32"/>
        </w:rPr>
        <w:t>分钟步行范围内进行土地混合功能开发，构建集产业、文教、居住、公共服务等功能于一体的区域综合服务中心。</w:t>
      </w:r>
    </w:p>
    <w:p w14:paraId="4A2B3FEA">
      <w:pPr>
        <w:pStyle w:val="5"/>
        <w:spacing w:after="200" w:line="520" w:lineRule="exact"/>
        <w:jc w:val="center"/>
        <w:rPr>
          <w:rFonts w:ascii="方正楷体_GBK" w:hAnsi="方正楷体_GBK" w:eastAsia="方正楷体_GBK"/>
          <w:b w:val="0"/>
          <w:bCs w:val="0"/>
        </w:rPr>
      </w:pPr>
      <w:bookmarkStart w:id="142" w:name="_Toc60466289"/>
      <w:r>
        <w:rPr>
          <w:rFonts w:hint="eastAsia" w:ascii="方正楷体_GBK" w:hAnsi="方正楷体_GBK" w:eastAsia="方正楷体_GBK" w:cs="方正楷体_GBK"/>
          <w:b w:val="0"/>
          <w:bCs w:val="0"/>
        </w:rPr>
        <w:t>第三节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增加非基本公共服务多样性</w:t>
      </w:r>
      <w:bookmarkEnd w:id="142"/>
    </w:p>
    <w:p w14:paraId="6AECF650">
      <w:pPr>
        <w:spacing w:line="590" w:lineRule="exact"/>
        <w:ind w:firstLine="629"/>
        <w:rPr>
          <w:rFonts w:eastAsia="方正仿宋_GBK"/>
          <w:sz w:val="32"/>
          <w:szCs w:val="32"/>
        </w:rPr>
      </w:pPr>
      <w:r>
        <w:rPr>
          <w:rFonts w:hint="eastAsia" w:eastAsia="方正仿宋_GBK" w:cs="方正仿宋_GBK"/>
          <w:sz w:val="32"/>
          <w:szCs w:val="32"/>
        </w:rPr>
        <w:t>加强政策引导、规范管理和市场监管，在非基本公共服务方面深化简政放权、优化发展环境，充分发挥市场机制作用，支持各类主体平等参与并提供服务。在普惠托育、学前教育、社会办医、养老服务等领域调动社会力量积极参与，培育多元供给主体，推动供给方式多样，扩大有效供给，促进非基本公共服务市场化、多元化、品质化，满足多层次多样化的群众需求。</w:t>
      </w:r>
    </w:p>
    <w:p w14:paraId="39BA5551">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143" w:name="_Toc60466290"/>
      <w:r>
        <w:rPr>
          <w:rFonts w:hint="eastAsia" w:ascii="方正黑体_GBK" w:hAnsi="方正黑体_GBK" w:eastAsia="方正黑体_GBK" w:cs="方正黑体_GBK"/>
          <w:b w:val="0"/>
          <w:bCs w:val="0"/>
        </w:rPr>
        <w:t>第二十一章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实现更高质量的富民增收</w:t>
      </w:r>
      <w:bookmarkEnd w:id="143"/>
    </w:p>
    <w:p w14:paraId="2B360789">
      <w:pPr>
        <w:pStyle w:val="5"/>
        <w:spacing w:after="200" w:line="520" w:lineRule="exact"/>
        <w:jc w:val="center"/>
        <w:rPr>
          <w:rFonts w:ascii="方正楷体_GBK" w:hAnsi="方正楷体_GBK" w:eastAsia="方正楷体_GBK"/>
          <w:b w:val="0"/>
          <w:bCs w:val="0"/>
        </w:rPr>
      </w:pPr>
      <w:bookmarkStart w:id="144" w:name="_Toc60466291"/>
      <w:r>
        <w:rPr>
          <w:rFonts w:hint="eastAsia" w:ascii="方正楷体_GBK" w:hAnsi="方正楷体_GBK" w:eastAsia="方正楷体_GBK" w:cs="方正楷体_GBK"/>
          <w:b w:val="0"/>
          <w:bCs w:val="0"/>
        </w:rPr>
        <w:t>第一节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促进居民收入持续增长</w:t>
      </w:r>
      <w:bookmarkEnd w:id="144"/>
    </w:p>
    <w:p w14:paraId="3DE5A8BC">
      <w:pPr>
        <w:spacing w:line="590" w:lineRule="exact"/>
        <w:ind w:firstLine="629"/>
        <w:rPr>
          <w:rFonts w:eastAsia="方正仿宋_GBK"/>
          <w:sz w:val="32"/>
          <w:szCs w:val="32"/>
        </w:rPr>
      </w:pPr>
      <w:r>
        <w:rPr>
          <w:rFonts w:hint="eastAsia" w:eastAsia="方正仿宋_GBK" w:cs="方正仿宋_GBK"/>
          <w:sz w:val="32"/>
          <w:szCs w:val="32"/>
        </w:rPr>
        <w:t>扎实推动共同富裕，居民人均可支配收入增速高于</w:t>
      </w:r>
      <w:r>
        <w:rPr>
          <w:rFonts w:eastAsia="方正仿宋_GBK"/>
          <w:sz w:val="32"/>
          <w:szCs w:val="32"/>
        </w:rPr>
        <w:t>GDP</w:t>
      </w:r>
      <w:r>
        <w:rPr>
          <w:rFonts w:hint="eastAsia" w:eastAsia="方正仿宋_GBK" w:cs="方正仿宋_GBK"/>
          <w:sz w:val="32"/>
          <w:szCs w:val="32"/>
        </w:rPr>
        <w:t>增速。健全工资决定、合理增长和支付保障机制，稳步增加居民工资性收入。鼓励支持中小微企业发展，增加居民经营性收入。多渠道增加居民财产性收入。释放土地、资本、技术等生产要素市场价值，促进创新人才、要素充分流动，拓展居民增收空间和增收途径。以产业结构调整带动中等收入群体扩大，提高中等收入人群比重。</w:t>
      </w:r>
    </w:p>
    <w:p w14:paraId="49FB1D1E">
      <w:pPr>
        <w:pStyle w:val="5"/>
        <w:spacing w:after="200" w:line="520" w:lineRule="exact"/>
        <w:jc w:val="center"/>
        <w:rPr>
          <w:rFonts w:ascii="方正楷体_GBK" w:hAnsi="方正楷体_GBK" w:eastAsia="方正楷体_GBK"/>
          <w:b w:val="0"/>
          <w:bCs w:val="0"/>
        </w:rPr>
      </w:pPr>
      <w:bookmarkStart w:id="145" w:name="_Toc60466292"/>
      <w:r>
        <w:rPr>
          <w:rFonts w:hint="eastAsia" w:ascii="方正楷体_GBK" w:hAnsi="方正楷体_GBK" w:eastAsia="方正楷体_GBK" w:cs="方正楷体_GBK"/>
          <w:b w:val="0"/>
          <w:bCs w:val="0"/>
        </w:rPr>
        <w:t>第二节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探索多种收入分配方式</w:t>
      </w:r>
      <w:bookmarkEnd w:id="145"/>
    </w:p>
    <w:p w14:paraId="5BEC35A8">
      <w:pPr>
        <w:spacing w:line="590" w:lineRule="exact"/>
        <w:ind w:firstLine="629"/>
        <w:rPr>
          <w:rFonts w:eastAsia="方正仿宋_GBK"/>
          <w:sz w:val="32"/>
          <w:szCs w:val="32"/>
        </w:rPr>
      </w:pPr>
      <w:r>
        <w:rPr>
          <w:rFonts w:hint="eastAsia" w:eastAsia="方正仿宋_GBK" w:cs="方正仿宋_GBK"/>
          <w:sz w:val="32"/>
          <w:szCs w:val="32"/>
        </w:rPr>
        <w:t>坚持按劳分配为主体、多种分配方式并存。优化分配结构，合理缩小收入分配差距。探索按要素分配政策制度，鼓励科研人员持有的科研成果、知识产权参与分配并由市场决定报酬。探索通过资本等要素使用权、收益权增加中低收入群体要素收入。加大税收、社保、转移支付等调节力度和精准性。健全再分配调节机制，健全提低收入群体收入分配保障。</w:t>
      </w:r>
    </w:p>
    <w:p w14:paraId="45B13389">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146" w:name="_Toc60466293"/>
      <w:r>
        <w:rPr>
          <w:rFonts w:hint="eastAsia" w:ascii="方正黑体_GBK" w:hAnsi="方正黑体_GBK" w:eastAsia="方正黑体_GBK" w:cs="方正黑体_GBK"/>
          <w:b w:val="0"/>
          <w:bCs w:val="0"/>
        </w:rPr>
        <w:t>第二十二章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实现更高质量的教育水平</w:t>
      </w:r>
      <w:bookmarkEnd w:id="146"/>
    </w:p>
    <w:p w14:paraId="357DBD7A">
      <w:pPr>
        <w:pStyle w:val="5"/>
        <w:spacing w:after="200" w:line="520" w:lineRule="exact"/>
        <w:jc w:val="center"/>
        <w:rPr>
          <w:rFonts w:ascii="方正楷体_GBK" w:hAnsi="方正楷体_GBK" w:eastAsia="方正楷体_GBK"/>
          <w:b w:val="0"/>
          <w:bCs w:val="0"/>
        </w:rPr>
      </w:pPr>
      <w:bookmarkStart w:id="147" w:name="_Toc60466294"/>
      <w:r>
        <w:rPr>
          <w:rFonts w:hint="eastAsia" w:ascii="方正楷体_GBK" w:hAnsi="方正楷体_GBK" w:eastAsia="方正楷体_GBK" w:cs="方正楷体_GBK"/>
          <w:b w:val="0"/>
          <w:bCs w:val="0"/>
        </w:rPr>
        <w:t>第一节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促进教育资源均衡布局</w:t>
      </w:r>
      <w:bookmarkEnd w:id="147"/>
    </w:p>
    <w:p w14:paraId="630571AB">
      <w:pPr>
        <w:spacing w:line="590" w:lineRule="exact"/>
        <w:ind w:firstLine="629"/>
        <w:rPr>
          <w:rFonts w:eastAsia="方正仿宋_GBK"/>
          <w:sz w:val="32"/>
          <w:szCs w:val="32"/>
        </w:rPr>
      </w:pPr>
      <w:r>
        <w:rPr>
          <w:rFonts w:hint="eastAsia" w:eastAsia="方正仿宋_GBK" w:cs="方正仿宋_GBK"/>
          <w:sz w:val="32"/>
          <w:szCs w:val="32"/>
        </w:rPr>
        <w:t>科学布局教育资源，基本破解教育“西密东疏”发展现状，进一步促进公共教育服务高质量发展，建立区域一体化的教育均衡发展和服务保障体系。加快推进新城片区教育载体建设，改善提高老城片区校园办学条件，逐步消除校园危房，切实解决“大班额”问题。深化中小学集团化办学、名校联盟、名校办分校，缩小校际发展差距，促进优质教育资源布局更加合理、供给更为充分，创成全国义务教育优质均衡发展区。</w:t>
      </w:r>
    </w:p>
    <w:p w14:paraId="4A6E3684">
      <w:pPr>
        <w:pStyle w:val="5"/>
        <w:spacing w:after="200" w:line="520" w:lineRule="exact"/>
        <w:jc w:val="center"/>
        <w:rPr>
          <w:rFonts w:ascii="方正楷体_GBK" w:hAnsi="方正楷体_GBK" w:eastAsia="方正楷体_GBK"/>
          <w:b w:val="0"/>
          <w:bCs w:val="0"/>
        </w:rPr>
      </w:pPr>
      <w:bookmarkStart w:id="148" w:name="_Toc60466295"/>
      <w:r>
        <w:rPr>
          <w:rFonts w:hint="eastAsia" w:ascii="方正楷体_GBK" w:hAnsi="方正楷体_GBK" w:eastAsia="方正楷体_GBK" w:cs="方正楷体_GBK"/>
          <w:b w:val="0"/>
          <w:bCs w:val="0"/>
        </w:rPr>
        <w:t>第二节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提升师资队伍建设质量</w:t>
      </w:r>
      <w:bookmarkEnd w:id="148"/>
    </w:p>
    <w:p w14:paraId="1C019F26">
      <w:pPr>
        <w:spacing w:line="590" w:lineRule="exact"/>
        <w:ind w:firstLine="629"/>
        <w:rPr>
          <w:rFonts w:eastAsia="方正仿宋_GBK"/>
          <w:sz w:val="32"/>
          <w:szCs w:val="32"/>
        </w:rPr>
      </w:pPr>
      <w:r>
        <w:rPr>
          <w:rFonts w:hint="eastAsia" w:eastAsia="方正仿宋_GBK" w:cs="方正仿宋_GBK"/>
          <w:sz w:val="32"/>
          <w:szCs w:val="32"/>
        </w:rPr>
        <w:t>优化师资配置，深化“区管校聘”改革，建立完善教师成长档案袋管理、教师成长三级联动、梯级教师发展支持等机制，逐步消除教师结构性缺编问题，保障教师队伍数量充足，加强名特优教师培养。强化师资教育，加大联盟研修、校本研修、自主学习比重，分层落实教师教育，重点关注各类教师主体成长和校长队伍建设，系统提升教师队伍能力。加大学校心理教师队伍建设力度，完善学生心理健康服务体系。到</w:t>
      </w:r>
      <w:r>
        <w:rPr>
          <w:rFonts w:eastAsia="方正仿宋_GBK"/>
          <w:sz w:val="32"/>
          <w:szCs w:val="32"/>
        </w:rPr>
        <w:t xml:space="preserve"> 2025</w:t>
      </w:r>
      <w:r>
        <w:rPr>
          <w:rFonts w:hint="eastAsia" w:eastAsia="方正仿宋_GBK" w:cs="方正仿宋_GBK"/>
          <w:sz w:val="32"/>
          <w:szCs w:val="32"/>
        </w:rPr>
        <w:t>年，培养和引进特级教师</w:t>
      </w:r>
      <w:r>
        <w:rPr>
          <w:rFonts w:eastAsia="方正仿宋_GBK"/>
          <w:sz w:val="32"/>
          <w:szCs w:val="32"/>
        </w:rPr>
        <w:t>10</w:t>
      </w:r>
      <w:r>
        <w:rPr>
          <w:rFonts w:hint="eastAsia" w:eastAsia="方正仿宋_GBK" w:cs="方正仿宋_GBK"/>
          <w:sz w:val="32"/>
          <w:szCs w:val="32"/>
        </w:rPr>
        <w:t>人，市、区学科教学带头人</w:t>
      </w:r>
      <w:r>
        <w:rPr>
          <w:rFonts w:eastAsia="方正仿宋_GBK"/>
          <w:sz w:val="32"/>
          <w:szCs w:val="32"/>
        </w:rPr>
        <w:t>335</w:t>
      </w:r>
      <w:r>
        <w:rPr>
          <w:rFonts w:hint="eastAsia" w:eastAsia="方正仿宋_GBK" w:cs="方正仿宋_GBK"/>
          <w:sz w:val="32"/>
          <w:szCs w:val="32"/>
        </w:rPr>
        <w:t>人，陶行知奖及斯霞奖</w:t>
      </w:r>
      <w:r>
        <w:rPr>
          <w:rFonts w:eastAsia="方正仿宋_GBK"/>
          <w:sz w:val="32"/>
          <w:szCs w:val="32"/>
        </w:rPr>
        <w:t>5</w:t>
      </w:r>
      <w:r>
        <w:rPr>
          <w:rFonts w:hint="eastAsia" w:eastAsia="方正仿宋_GBK" w:cs="方正仿宋_GBK"/>
          <w:sz w:val="32"/>
          <w:szCs w:val="32"/>
        </w:rPr>
        <w:t>人，名师名校长队伍建设全市领先。</w:t>
      </w:r>
    </w:p>
    <w:p w14:paraId="4BAF8605">
      <w:pPr>
        <w:pStyle w:val="5"/>
        <w:spacing w:after="200" w:line="520" w:lineRule="exact"/>
        <w:jc w:val="center"/>
        <w:rPr>
          <w:rFonts w:ascii="方正楷体_GBK" w:hAnsi="方正楷体_GBK" w:eastAsia="方正楷体_GBK"/>
          <w:b w:val="0"/>
          <w:bCs w:val="0"/>
        </w:rPr>
      </w:pPr>
      <w:bookmarkStart w:id="149" w:name="_Toc60466296"/>
      <w:r>
        <w:rPr>
          <w:rFonts w:hint="eastAsia" w:ascii="方正楷体_GBK" w:hAnsi="方正楷体_GBK" w:eastAsia="方正楷体_GBK" w:cs="方正楷体_GBK"/>
          <w:b w:val="0"/>
          <w:bCs w:val="0"/>
        </w:rPr>
        <w:t>第三节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完善多层次终身教育体系</w:t>
      </w:r>
      <w:bookmarkEnd w:id="149"/>
    </w:p>
    <w:p w14:paraId="41EFCE99">
      <w:pPr>
        <w:spacing w:line="590" w:lineRule="exact"/>
        <w:ind w:firstLine="629"/>
        <w:rPr>
          <w:rFonts w:eastAsia="方正仿宋_GBK"/>
          <w:sz w:val="32"/>
          <w:szCs w:val="32"/>
        </w:rPr>
      </w:pPr>
      <w:r>
        <w:rPr>
          <w:rFonts w:hint="eastAsia" w:eastAsia="方正仿宋_GBK" w:cs="方正仿宋_GBK"/>
          <w:sz w:val="32"/>
          <w:szCs w:val="32"/>
        </w:rPr>
        <w:t>确保幼儿园总量富足，学前教育优质普惠，优质园覆盖率保持全市领先；义务教育达到省定标准；高中教育优质多元，课程建设再上台阶，育人方式改革更加科学；职业教育全省领先、完善产教融合基本制度，提升职业教育国际化水平。特殊教育充分满足需要、实现残疾儿童接受义务教育全覆盖，落实多元化质量评估。社区教育满足百姓终身学习需求。推动高等教育内涵式发展，支持驻区高校与中小学合作办学。支持和规范民办教育发展，规范校外培训机构。深入探索“互联网</w:t>
      </w:r>
      <w:r>
        <w:rPr>
          <w:rFonts w:eastAsia="方正仿宋_GBK"/>
          <w:sz w:val="32"/>
          <w:szCs w:val="32"/>
        </w:rPr>
        <w:t>+</w:t>
      </w:r>
      <w:r>
        <w:rPr>
          <w:rFonts w:hint="eastAsia" w:eastAsia="方正仿宋_GBK" w:cs="方正仿宋_GBK"/>
          <w:sz w:val="32"/>
          <w:szCs w:val="32"/>
        </w:rPr>
        <w:t>教育”模式，满足各层次人群教育需求。</w:t>
      </w:r>
    </w:p>
    <w:tbl>
      <w:tblPr>
        <w:tblStyle w:val="12"/>
        <w:tblW w:w="5000" w:type="pct"/>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51B22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tcPr>
          <w:p w14:paraId="4AD4DC8B">
            <w:pPr>
              <w:spacing w:line="520" w:lineRule="exact"/>
              <w:jc w:val="center"/>
              <w:rPr>
                <w:rFonts w:eastAsia="方正黑体简体"/>
                <w:sz w:val="24"/>
                <w:szCs w:val="24"/>
              </w:rPr>
            </w:pPr>
            <w:r>
              <w:rPr>
                <w:rFonts w:hint="eastAsia" w:eastAsia="方正黑体简体" w:cs="方正黑体简体"/>
                <w:sz w:val="24"/>
                <w:szCs w:val="24"/>
              </w:rPr>
              <w:t>专栏六：基础教育高质量发展工程</w:t>
            </w:r>
          </w:p>
        </w:tc>
      </w:tr>
      <w:tr w14:paraId="6482F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5000" w:type="pct"/>
          </w:tcPr>
          <w:p w14:paraId="783D7613">
            <w:pPr>
              <w:spacing w:line="500" w:lineRule="exact"/>
              <w:jc w:val="left"/>
              <w:rPr>
                <w:sz w:val="22"/>
                <w:szCs w:val="22"/>
              </w:rPr>
            </w:pPr>
            <w:r>
              <w:rPr>
                <w:sz w:val="22"/>
                <w:szCs w:val="22"/>
              </w:rPr>
              <w:t>1</w:t>
            </w:r>
            <w:r>
              <w:rPr>
                <w:rFonts w:hint="eastAsia" w:cs="宋体"/>
                <w:sz w:val="22"/>
                <w:szCs w:val="22"/>
              </w:rPr>
              <w:t>、教育资源均衡布局工程：加快推进南部新城</w:t>
            </w:r>
            <w:r>
              <w:rPr>
                <w:sz w:val="22"/>
                <w:szCs w:val="22"/>
              </w:rPr>
              <w:t>6</w:t>
            </w:r>
            <w:r>
              <w:rPr>
                <w:rFonts w:hint="eastAsia" w:cs="宋体"/>
                <w:sz w:val="22"/>
                <w:szCs w:val="22"/>
              </w:rPr>
              <w:t>所初中、</w:t>
            </w:r>
            <w:r>
              <w:rPr>
                <w:sz w:val="22"/>
                <w:szCs w:val="22"/>
              </w:rPr>
              <w:t>7</w:t>
            </w:r>
            <w:r>
              <w:rPr>
                <w:rFonts w:hint="eastAsia" w:cs="宋体"/>
                <w:sz w:val="22"/>
                <w:szCs w:val="22"/>
              </w:rPr>
              <w:t>所小学的建设工作，加快推进东部地区紫杨佳园中小学项目建设，稳妥做好老城义务教育学校校区调整工作，至</w:t>
            </w:r>
            <w:r>
              <w:rPr>
                <w:sz w:val="22"/>
                <w:szCs w:val="22"/>
              </w:rPr>
              <w:t>2025</w:t>
            </w:r>
            <w:r>
              <w:rPr>
                <w:rFonts w:hint="eastAsia" w:cs="宋体"/>
                <w:sz w:val="22"/>
                <w:szCs w:val="22"/>
              </w:rPr>
              <w:t>年，新增义务教育学校或校区</w:t>
            </w:r>
            <w:r>
              <w:rPr>
                <w:sz w:val="22"/>
                <w:szCs w:val="22"/>
              </w:rPr>
              <w:t>20</w:t>
            </w:r>
            <w:r>
              <w:rPr>
                <w:rFonts w:hint="eastAsia" w:cs="宋体"/>
                <w:sz w:val="22"/>
                <w:szCs w:val="22"/>
              </w:rPr>
              <w:t>所，义务教育学校全面达到省定办学标准</w:t>
            </w:r>
          </w:p>
          <w:p w14:paraId="0EA5C7E0">
            <w:pPr>
              <w:spacing w:line="500" w:lineRule="exact"/>
              <w:jc w:val="left"/>
              <w:rPr>
                <w:sz w:val="22"/>
                <w:szCs w:val="22"/>
              </w:rPr>
            </w:pPr>
            <w:r>
              <w:rPr>
                <w:sz w:val="22"/>
                <w:szCs w:val="22"/>
              </w:rPr>
              <w:t>2</w:t>
            </w:r>
            <w:r>
              <w:rPr>
                <w:rFonts w:hint="eastAsia" w:cs="宋体"/>
                <w:sz w:val="22"/>
                <w:szCs w:val="22"/>
              </w:rPr>
              <w:t>、教师队伍建设工程：建立教师成长档案袋管理机制，推进教师成长三级联动机制；完善梯级教师发展支持机制，加重联盟研修、校本研修、教师自主学习比重；优化课程结构和实施模式，加深信息技术与教师教育融合，启动教师</w:t>
            </w:r>
            <w:r>
              <w:rPr>
                <w:sz w:val="22"/>
                <w:szCs w:val="22"/>
              </w:rPr>
              <w:t>E</w:t>
            </w:r>
            <w:r>
              <w:rPr>
                <w:rFonts w:hint="eastAsia" w:cs="宋体"/>
                <w:sz w:val="22"/>
                <w:szCs w:val="22"/>
              </w:rPr>
              <w:t>学堂计划</w:t>
            </w:r>
          </w:p>
          <w:p w14:paraId="20587C75">
            <w:pPr>
              <w:spacing w:line="500" w:lineRule="exact"/>
              <w:jc w:val="left"/>
              <w:rPr>
                <w:rFonts w:eastAsia="方正黑体_GBK"/>
                <w:sz w:val="24"/>
                <w:szCs w:val="24"/>
              </w:rPr>
            </w:pPr>
            <w:r>
              <w:rPr>
                <w:sz w:val="22"/>
                <w:szCs w:val="22"/>
              </w:rPr>
              <w:t>3</w:t>
            </w:r>
            <w:r>
              <w:rPr>
                <w:rFonts w:hint="eastAsia" w:cs="宋体"/>
                <w:sz w:val="22"/>
                <w:szCs w:val="22"/>
              </w:rPr>
              <w:t>、智慧教育平台建设工程：构建公有云和私有云相结合的教学支持服务体系，完善云上学校教育资源的平台化；支持个性化和混合性学习，加强智慧化学科融合教学能力提升研究，构建个性化知识管理平台；建成秦淮区智慧教育指挥中心，收集、储存、管理、分析信息化教学终端数据，搭建教育大数据智能分析平台</w:t>
            </w:r>
          </w:p>
        </w:tc>
      </w:tr>
    </w:tbl>
    <w:p w14:paraId="2AF85ACC">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150" w:name="_Toc60466297"/>
    </w:p>
    <w:p w14:paraId="7524D48A">
      <w:pPr>
        <w:pStyle w:val="4"/>
        <w:keepNext w:val="0"/>
        <w:keepLines w:val="0"/>
        <w:spacing w:beforeLines="100" w:afterLines="100" w:line="540" w:lineRule="exact"/>
        <w:jc w:val="center"/>
        <w:rPr>
          <w:rFonts w:ascii="方正黑体_GBK" w:hAnsi="方正黑体_GBK" w:eastAsia="方正黑体_GBK" w:cs="Times New Roman"/>
          <w:b w:val="0"/>
          <w:bCs w:val="0"/>
        </w:rPr>
      </w:pPr>
      <w:r>
        <w:rPr>
          <w:rFonts w:hint="eastAsia" w:ascii="方正黑体_GBK" w:hAnsi="方正黑体_GBK" w:eastAsia="方正黑体_GBK" w:cs="方正黑体_GBK"/>
          <w:b w:val="0"/>
          <w:bCs w:val="0"/>
        </w:rPr>
        <w:t>第二十三章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实现更高质量的医疗水平</w:t>
      </w:r>
      <w:bookmarkEnd w:id="150"/>
    </w:p>
    <w:p w14:paraId="2DF7F0CB">
      <w:pPr>
        <w:pStyle w:val="5"/>
        <w:spacing w:after="200" w:line="520" w:lineRule="exact"/>
        <w:jc w:val="center"/>
        <w:rPr>
          <w:rFonts w:ascii="方正楷体_GBK" w:hAnsi="方正楷体_GBK" w:eastAsia="方正楷体_GBK"/>
          <w:b w:val="0"/>
          <w:bCs w:val="0"/>
        </w:rPr>
      </w:pPr>
      <w:bookmarkStart w:id="151" w:name="_Toc60466298"/>
      <w:r>
        <w:rPr>
          <w:rFonts w:hint="eastAsia" w:ascii="方正楷体_GBK" w:hAnsi="方正楷体_GBK" w:eastAsia="方正楷体_GBK" w:cs="方正楷体_GBK"/>
          <w:b w:val="0"/>
          <w:bCs w:val="0"/>
        </w:rPr>
        <w:t>第一节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完善医疗服务体系</w:t>
      </w:r>
      <w:bookmarkEnd w:id="151"/>
    </w:p>
    <w:p w14:paraId="4E7438CB">
      <w:pPr>
        <w:spacing w:line="590" w:lineRule="exact"/>
        <w:ind w:firstLine="629"/>
        <w:rPr>
          <w:rFonts w:eastAsia="方正仿宋_GBK"/>
          <w:sz w:val="32"/>
          <w:szCs w:val="32"/>
        </w:rPr>
      </w:pPr>
      <w:r>
        <w:rPr>
          <w:rFonts w:hint="eastAsia" w:eastAsia="方正仿宋_GBK" w:cs="方正仿宋_GBK"/>
          <w:sz w:val="32"/>
          <w:szCs w:val="32"/>
        </w:rPr>
        <w:t>健全完善现代医疗卫生服务体系，提升公共卫生服务体系疾病防控能力，常设公共卫生应急管理委员会，建设公共卫生应急指挥中心、公共卫生应急医疗救援中心、公共卫生培训中心，打造规范化人才培训、应急演练、物资储备基地，加强急救站点建设。健全区、街道、社区“三级”疾病预防控制网络，实现“防、治、管”联合推进，建立突发公共卫生事件风险评估专家库，提高监测检测能力，提升应对重大、新发传染病和群体性公共卫生事件应急处置能力。</w:t>
      </w:r>
    </w:p>
    <w:p w14:paraId="5E81C6BA">
      <w:pPr>
        <w:pStyle w:val="5"/>
        <w:spacing w:after="200" w:line="520" w:lineRule="exact"/>
        <w:jc w:val="center"/>
        <w:rPr>
          <w:rFonts w:ascii="方正楷体_GBK" w:hAnsi="方正楷体_GBK" w:eastAsia="方正楷体_GBK"/>
          <w:b w:val="0"/>
          <w:bCs w:val="0"/>
        </w:rPr>
      </w:pPr>
      <w:bookmarkStart w:id="152" w:name="_Toc60466299"/>
      <w:r>
        <w:rPr>
          <w:rFonts w:hint="eastAsia" w:ascii="方正楷体_GBK" w:hAnsi="方正楷体_GBK" w:eastAsia="方正楷体_GBK" w:cs="方正楷体_GBK"/>
          <w:b w:val="0"/>
          <w:bCs w:val="0"/>
        </w:rPr>
        <w:t>第二节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促进资源均衡配置</w:t>
      </w:r>
      <w:bookmarkEnd w:id="152"/>
    </w:p>
    <w:p w14:paraId="47B8E192">
      <w:pPr>
        <w:spacing w:line="590" w:lineRule="exact"/>
        <w:ind w:firstLine="629"/>
        <w:rPr>
          <w:rFonts w:eastAsia="方正仿宋_GBK"/>
          <w:sz w:val="32"/>
          <w:szCs w:val="32"/>
        </w:rPr>
      </w:pPr>
      <w:r>
        <w:rPr>
          <w:rFonts w:hint="eastAsia" w:eastAsia="方正仿宋_GBK" w:cs="方正仿宋_GBK"/>
          <w:sz w:val="32"/>
          <w:szCs w:val="32"/>
        </w:rPr>
        <w:t>推进医疗资源“东进南扩”，加快建设秦淮区东部医疗中心、建设社区卫生服务中心网点服务体系，推进现有社区卫生服务中心提档升级，提高服务能力，优先发展群众急需的中医、康复等医疗专科项目，构建分布更均衡、服务更高效的“</w:t>
      </w:r>
      <w:r>
        <w:rPr>
          <w:rFonts w:eastAsia="方正仿宋_GBK"/>
          <w:sz w:val="32"/>
          <w:szCs w:val="32"/>
        </w:rPr>
        <w:t>15</w:t>
      </w:r>
      <w:r>
        <w:rPr>
          <w:rFonts w:hint="eastAsia" w:eastAsia="方正仿宋_GBK" w:cs="方正仿宋_GBK"/>
          <w:sz w:val="32"/>
          <w:szCs w:val="32"/>
        </w:rPr>
        <w:t>分钟健康服务圈”。加强医联体建设，按照“政府主导、全区联动、网格化服务、双纽带推进”模式，建立二、三级医疗机构与基层医疗机构全面合作、协作的医疗联合体。落实“分级诊疗”制度，建成城区“紧密型医疗联合体”。</w:t>
      </w:r>
      <w:r>
        <w:rPr>
          <w:rFonts w:eastAsia="方正仿宋_GBK"/>
          <w:sz w:val="32"/>
          <w:szCs w:val="32"/>
        </w:rPr>
        <w:t xml:space="preserve"> </w:t>
      </w:r>
      <w:r>
        <w:rPr>
          <w:rFonts w:hint="eastAsia" w:eastAsia="方正仿宋_GBK" w:cs="方正仿宋_GBK"/>
          <w:sz w:val="32"/>
          <w:szCs w:val="32"/>
        </w:rPr>
        <w:t>加大社会办医支持力度，促进医养结合，“互联网</w:t>
      </w:r>
      <w:r>
        <w:rPr>
          <w:rFonts w:eastAsia="方正仿宋_GBK"/>
          <w:sz w:val="32"/>
          <w:szCs w:val="32"/>
        </w:rPr>
        <w:t>+</w:t>
      </w:r>
      <w:r>
        <w:rPr>
          <w:rFonts w:hint="eastAsia" w:eastAsia="方正仿宋_GBK" w:cs="方正仿宋_GBK"/>
          <w:sz w:val="32"/>
          <w:szCs w:val="32"/>
        </w:rPr>
        <w:t>护理服务”在全国形成“秦淮经验”。推行家庭健康发展行动，整合卫生、计生服务团队力量，引入高校志愿者服务资源，依托社区网格化工作机制，组建家庭健康服务团队。推进网格化的家庭健康服务，重点人群家庭医生签约率规范达标。</w:t>
      </w:r>
    </w:p>
    <w:p w14:paraId="0AD17EF8">
      <w:pPr>
        <w:pStyle w:val="5"/>
        <w:spacing w:after="200" w:line="520" w:lineRule="exact"/>
        <w:jc w:val="center"/>
        <w:rPr>
          <w:rFonts w:ascii="方正楷体_GBK" w:hAnsi="方正楷体_GBK" w:eastAsia="方正楷体_GBK"/>
          <w:b w:val="0"/>
          <w:bCs w:val="0"/>
        </w:rPr>
      </w:pPr>
      <w:bookmarkStart w:id="153" w:name="_Toc60466300"/>
      <w:r>
        <w:rPr>
          <w:rFonts w:hint="eastAsia" w:ascii="方正楷体_GBK" w:hAnsi="方正楷体_GBK" w:eastAsia="方正楷体_GBK" w:cs="方正楷体_GBK"/>
          <w:b w:val="0"/>
          <w:bCs w:val="0"/>
        </w:rPr>
        <w:t>第三节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加强人才队伍建设</w:t>
      </w:r>
      <w:bookmarkEnd w:id="153"/>
    </w:p>
    <w:p w14:paraId="4033D4A5">
      <w:pPr>
        <w:spacing w:line="590" w:lineRule="exact"/>
        <w:ind w:firstLine="629"/>
        <w:rPr>
          <w:rFonts w:eastAsia="方正仿宋_GBK"/>
          <w:sz w:val="32"/>
          <w:szCs w:val="32"/>
        </w:rPr>
      </w:pPr>
      <w:r>
        <w:rPr>
          <w:rFonts w:hint="eastAsia" w:eastAsia="方正仿宋_GBK" w:cs="方正仿宋_GBK"/>
          <w:sz w:val="32"/>
          <w:szCs w:val="32"/>
        </w:rPr>
        <w:t>建设总量适宜、结构优化的卫生人才队伍。加强基层卫生人才队伍建设，积极培养和引进公共卫生、全科、儿科、康复等紧缺专科（专业）人才。完善卫生人才工作机制，实施“区管院用”和备案管理制度，建立能进能出、能上能下的用人机制。完善对卫生人才队伍在职称、待遇等方面的倾斜政策。到</w:t>
      </w:r>
      <w:r>
        <w:rPr>
          <w:rFonts w:eastAsia="方正仿宋_GBK"/>
          <w:sz w:val="32"/>
          <w:szCs w:val="32"/>
        </w:rPr>
        <w:t>2025</w:t>
      </w:r>
      <w:r>
        <w:rPr>
          <w:rFonts w:hint="eastAsia" w:eastAsia="方正仿宋_GBK" w:cs="方正仿宋_GBK"/>
          <w:sz w:val="32"/>
          <w:szCs w:val="32"/>
        </w:rPr>
        <w:t>年，每千人床位数超</w:t>
      </w:r>
      <w:r>
        <w:rPr>
          <w:rFonts w:eastAsia="方正仿宋_GBK"/>
          <w:sz w:val="32"/>
          <w:szCs w:val="32"/>
        </w:rPr>
        <w:t>9.4</w:t>
      </w:r>
      <w:r>
        <w:rPr>
          <w:rFonts w:hint="eastAsia" w:eastAsia="方正仿宋_GBK" w:cs="方正仿宋_GBK"/>
          <w:sz w:val="32"/>
          <w:szCs w:val="32"/>
        </w:rPr>
        <w:t>张，每千人执业（助理）医师数、注册护士数分别达到</w:t>
      </w:r>
      <w:r>
        <w:rPr>
          <w:rFonts w:eastAsia="方正仿宋_GBK"/>
          <w:sz w:val="32"/>
          <w:szCs w:val="32"/>
        </w:rPr>
        <w:t>6</w:t>
      </w:r>
      <w:r>
        <w:rPr>
          <w:rFonts w:hint="eastAsia" w:eastAsia="方正仿宋_GBK" w:cs="方正仿宋_GBK"/>
          <w:sz w:val="32"/>
          <w:szCs w:val="32"/>
        </w:rPr>
        <w:t>人和</w:t>
      </w:r>
      <w:r>
        <w:rPr>
          <w:rFonts w:eastAsia="方正仿宋_GBK"/>
          <w:sz w:val="32"/>
          <w:szCs w:val="32"/>
        </w:rPr>
        <w:t>7</w:t>
      </w:r>
      <w:r>
        <w:rPr>
          <w:rFonts w:hint="eastAsia" w:eastAsia="方正仿宋_GBK" w:cs="方正仿宋_GBK"/>
          <w:sz w:val="32"/>
          <w:szCs w:val="32"/>
        </w:rPr>
        <w:t>人，每万人全科医生数不少于</w:t>
      </w:r>
      <w:r>
        <w:rPr>
          <w:rFonts w:eastAsia="方正仿宋_GBK"/>
          <w:sz w:val="32"/>
          <w:szCs w:val="32"/>
        </w:rPr>
        <w:t>4.6</w:t>
      </w:r>
      <w:r>
        <w:rPr>
          <w:rFonts w:hint="eastAsia" w:eastAsia="方正仿宋_GBK" w:cs="方正仿宋_GBK"/>
          <w:sz w:val="32"/>
          <w:szCs w:val="32"/>
        </w:rPr>
        <w:t>名。力争新增省名中医</w:t>
      </w:r>
      <w:r>
        <w:rPr>
          <w:rFonts w:eastAsia="方正仿宋_GBK"/>
          <w:sz w:val="32"/>
          <w:szCs w:val="32"/>
        </w:rPr>
        <w:t>1</w:t>
      </w:r>
      <w:r>
        <w:rPr>
          <w:rFonts w:hint="eastAsia" w:eastAsia="方正仿宋_GBK" w:cs="方正仿宋_GBK"/>
          <w:sz w:val="32"/>
          <w:szCs w:val="32"/>
        </w:rPr>
        <w:t>名，市名中医</w:t>
      </w:r>
      <w:r>
        <w:rPr>
          <w:rFonts w:eastAsia="方正仿宋_GBK"/>
          <w:sz w:val="32"/>
          <w:szCs w:val="32"/>
        </w:rPr>
        <w:t>2-3</w:t>
      </w:r>
      <w:r>
        <w:rPr>
          <w:rFonts w:hint="eastAsia" w:eastAsia="方正仿宋_GBK" w:cs="方正仿宋_GBK"/>
          <w:sz w:val="32"/>
          <w:szCs w:val="32"/>
        </w:rPr>
        <w:t>名。</w:t>
      </w:r>
    </w:p>
    <w:p w14:paraId="4C334C7C">
      <w:pPr>
        <w:pStyle w:val="5"/>
        <w:spacing w:after="200" w:line="520" w:lineRule="exact"/>
        <w:jc w:val="center"/>
        <w:rPr>
          <w:rFonts w:ascii="方正楷体_GBK" w:hAnsi="方正楷体_GBK" w:eastAsia="方正楷体_GBK"/>
          <w:b w:val="0"/>
          <w:bCs w:val="0"/>
        </w:rPr>
      </w:pPr>
      <w:bookmarkStart w:id="154" w:name="_Toc60466301"/>
      <w:r>
        <w:rPr>
          <w:rFonts w:hint="eastAsia" w:ascii="方正楷体_GBK" w:hAnsi="方正楷体_GBK" w:eastAsia="方正楷体_GBK" w:cs="方正楷体_GBK"/>
          <w:b w:val="0"/>
          <w:bCs w:val="0"/>
        </w:rPr>
        <w:t>第四节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提升中医药品牌优势</w:t>
      </w:r>
      <w:bookmarkEnd w:id="154"/>
    </w:p>
    <w:p w14:paraId="70616629">
      <w:pPr>
        <w:spacing w:line="590" w:lineRule="exact"/>
        <w:ind w:firstLine="629"/>
        <w:rPr>
          <w:rFonts w:eastAsia="方正仿宋_GBK"/>
          <w:sz w:val="32"/>
          <w:szCs w:val="32"/>
        </w:rPr>
      </w:pPr>
      <w:r>
        <w:rPr>
          <w:rFonts w:hint="eastAsia" w:eastAsia="方正仿宋_GBK" w:cs="方正仿宋_GBK"/>
          <w:sz w:val="32"/>
          <w:szCs w:val="32"/>
        </w:rPr>
        <w:t>提升基层医疗卫生机构中医服务能力，形成区域性中医药服务联合体，支持秦淮中医院创建二级甲等中医院。深化中医药适宜技术、治未病、中医药文化进社区，巩固“全国基层中医药工作先进单位”成果。提高中医适宜技术应用比例，构建中医药“帮带训”培训机制，继续开展“区名中医”评选、老中医药专家学术经验传承等工作，加大中医重点专科的建设力度。拓展“中医治未病”延伸服务，建立健全工作制度、服务流程和服务规范。</w:t>
      </w:r>
    </w:p>
    <w:tbl>
      <w:tblPr>
        <w:tblStyle w:val="12"/>
        <w:tblW w:w="5000" w:type="pct"/>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516D4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6F44702B">
            <w:pPr>
              <w:spacing w:line="520" w:lineRule="exact"/>
              <w:jc w:val="center"/>
              <w:rPr>
                <w:rFonts w:eastAsia="方正黑体_GBK"/>
                <w:sz w:val="24"/>
                <w:szCs w:val="24"/>
              </w:rPr>
            </w:pPr>
            <w:r>
              <w:rPr>
                <w:rFonts w:hint="eastAsia" w:eastAsia="方正黑体简体" w:cs="方正黑体简体"/>
                <w:sz w:val="24"/>
                <w:szCs w:val="24"/>
              </w:rPr>
              <w:t>专栏七：医疗高质量发展工程</w:t>
            </w:r>
          </w:p>
        </w:tc>
      </w:tr>
      <w:tr w14:paraId="5A73C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5000" w:type="pct"/>
          </w:tcPr>
          <w:p w14:paraId="78C346E7">
            <w:pPr>
              <w:spacing w:line="480" w:lineRule="exact"/>
              <w:jc w:val="left"/>
              <w:rPr>
                <w:sz w:val="22"/>
                <w:szCs w:val="22"/>
              </w:rPr>
            </w:pPr>
            <w:r>
              <w:rPr>
                <w:sz w:val="22"/>
                <w:szCs w:val="22"/>
              </w:rPr>
              <w:t>1</w:t>
            </w:r>
            <w:r>
              <w:rPr>
                <w:rFonts w:hint="eastAsia" w:cs="宋体"/>
                <w:sz w:val="22"/>
                <w:szCs w:val="22"/>
              </w:rPr>
              <w:t>、均衡医疗卫生资源配置工程：推进东部医疗中心红十字医院康复分院建设，优化东部地区、南部新城社区卫生服务中心网点布局，构建分布更加均衡、分工更加优化、服务更加高效的“</w:t>
            </w:r>
            <w:r>
              <w:rPr>
                <w:sz w:val="22"/>
                <w:szCs w:val="22"/>
              </w:rPr>
              <w:t>15</w:t>
            </w:r>
            <w:r>
              <w:rPr>
                <w:rFonts w:hint="eastAsia" w:cs="宋体"/>
                <w:sz w:val="22"/>
                <w:szCs w:val="22"/>
              </w:rPr>
              <w:t>分钟健康服务圈”；鼓励社会资本参与精神、儿童、妇幼、护理、康复等专科建设，营造公开平等发展环境</w:t>
            </w:r>
          </w:p>
          <w:p w14:paraId="3FB486B5">
            <w:pPr>
              <w:spacing w:line="480" w:lineRule="exact"/>
              <w:jc w:val="left"/>
              <w:rPr>
                <w:sz w:val="22"/>
                <w:szCs w:val="22"/>
              </w:rPr>
            </w:pPr>
            <w:r>
              <w:rPr>
                <w:sz w:val="22"/>
                <w:szCs w:val="22"/>
              </w:rPr>
              <w:t>2</w:t>
            </w:r>
            <w:r>
              <w:rPr>
                <w:rFonts w:hint="eastAsia" w:cs="宋体"/>
                <w:sz w:val="22"/>
                <w:szCs w:val="22"/>
              </w:rPr>
              <w:t>、“互联网</w:t>
            </w:r>
            <w:r>
              <w:rPr>
                <w:sz w:val="22"/>
                <w:szCs w:val="22"/>
              </w:rPr>
              <w:t>+</w:t>
            </w:r>
            <w:r>
              <w:rPr>
                <w:rFonts w:hint="eastAsia" w:cs="宋体"/>
                <w:sz w:val="22"/>
                <w:szCs w:val="22"/>
              </w:rPr>
              <w:t>公共卫生”服务工程：建成区卫生信息中心、卫生专网，突破医疗机构与公共卫生机构之间的信息屏障，在区属医疗机构中推广</w:t>
            </w:r>
            <w:r>
              <w:rPr>
                <w:sz w:val="22"/>
                <w:szCs w:val="22"/>
              </w:rPr>
              <w:t>HIS</w:t>
            </w:r>
            <w:r>
              <w:rPr>
                <w:rFonts w:hint="eastAsia" w:cs="宋体"/>
                <w:sz w:val="22"/>
                <w:szCs w:val="22"/>
              </w:rPr>
              <w:t>系统传染病拦截功能；推动辖区三甲医院</w:t>
            </w:r>
            <w:r>
              <w:rPr>
                <w:sz w:val="22"/>
                <w:szCs w:val="22"/>
              </w:rPr>
              <w:t>HIS</w:t>
            </w:r>
            <w:r>
              <w:rPr>
                <w:rFonts w:hint="eastAsia" w:cs="宋体"/>
                <w:sz w:val="22"/>
                <w:szCs w:val="22"/>
              </w:rPr>
              <w:t>系统、检验系统、影像系统对接，实现与国家传染病报告系统自动上传功能；全面使用儿童预防接种系统，实现疫苗全程溯源</w:t>
            </w:r>
          </w:p>
          <w:p w14:paraId="573DAE21">
            <w:pPr>
              <w:spacing w:line="480" w:lineRule="exact"/>
              <w:jc w:val="left"/>
              <w:rPr>
                <w:sz w:val="22"/>
                <w:szCs w:val="22"/>
              </w:rPr>
            </w:pPr>
            <w:r>
              <w:rPr>
                <w:sz w:val="22"/>
                <w:szCs w:val="22"/>
              </w:rPr>
              <w:t>3</w:t>
            </w:r>
            <w:r>
              <w:rPr>
                <w:rFonts w:hint="eastAsia" w:cs="宋体"/>
                <w:sz w:val="22"/>
                <w:szCs w:val="22"/>
              </w:rPr>
              <w:t>、公共卫生应急服务工程：建设公共卫生应急指挥中心、医疗救援中心以及培训中心，打造规范化人才培训基地、应急演练基地以及物资储备基地，加强急救站点建设；建立突发公共卫生事件风险评估专家库，提高突发公共卫生事件监测与实验室检测能力</w:t>
            </w:r>
          </w:p>
          <w:p w14:paraId="68A4D785">
            <w:pPr>
              <w:spacing w:line="480" w:lineRule="exact"/>
              <w:jc w:val="left"/>
              <w:rPr>
                <w:sz w:val="22"/>
                <w:szCs w:val="22"/>
              </w:rPr>
            </w:pPr>
            <w:r>
              <w:rPr>
                <w:sz w:val="22"/>
                <w:szCs w:val="22"/>
              </w:rPr>
              <w:t>4</w:t>
            </w:r>
            <w:r>
              <w:rPr>
                <w:rFonts w:hint="eastAsia" w:cs="宋体"/>
                <w:sz w:val="22"/>
                <w:szCs w:val="22"/>
              </w:rPr>
              <w:t>、家庭健康服务工程：依托社区网格化工作机制，组建家庭健康服务团队，开通“家庭健康服务直通车”，提供“八个一”服务，基本实现“五有”，即，每个街道有一个社区家庭医生工作室，每个家庭有一份较为完备的健康档案，每个家庭有一个较为固定的医生朋友，每个家庭有一次免费的健康服务，每个家庭成员都有参与自我健康管理的意识，形成“一户一档一家庭医生”的健康服务格局</w:t>
            </w:r>
          </w:p>
          <w:p w14:paraId="354E3329">
            <w:pPr>
              <w:spacing w:line="480" w:lineRule="exact"/>
              <w:jc w:val="left"/>
              <w:rPr>
                <w:rFonts w:eastAsia="方正黑体_GBK"/>
                <w:sz w:val="24"/>
                <w:szCs w:val="24"/>
              </w:rPr>
            </w:pPr>
            <w:r>
              <w:rPr>
                <w:sz w:val="22"/>
                <w:szCs w:val="22"/>
              </w:rPr>
              <w:t>5</w:t>
            </w:r>
            <w:r>
              <w:rPr>
                <w:rFonts w:hint="eastAsia" w:cs="宋体"/>
                <w:sz w:val="22"/>
                <w:szCs w:val="22"/>
              </w:rPr>
              <w:t>、中医药特色工程：区中医院为龙头，打造区域性中医药服务联合体；提升基层医疗卫生机构中医服务能力，深化中医药适宜技术、治未病、中医药文化进社区活动；构建中医药“帮带训”培训机制，依托区中医院建立继续教育、培训制度，开展中医药师承带教、素质培养行动</w:t>
            </w:r>
          </w:p>
        </w:tc>
      </w:tr>
    </w:tbl>
    <w:p w14:paraId="741AEE78">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155" w:name="_Toc60466302"/>
    </w:p>
    <w:p w14:paraId="1BD91BEC">
      <w:pPr>
        <w:pStyle w:val="4"/>
        <w:keepNext w:val="0"/>
        <w:keepLines w:val="0"/>
        <w:spacing w:beforeLines="100" w:afterLines="100" w:line="540" w:lineRule="exact"/>
        <w:jc w:val="center"/>
        <w:rPr>
          <w:rFonts w:ascii="方正黑体_GBK" w:hAnsi="方正黑体_GBK" w:eastAsia="方正黑体_GBK" w:cs="Times New Roman"/>
          <w:b w:val="0"/>
          <w:bCs w:val="0"/>
        </w:rPr>
      </w:pPr>
    </w:p>
    <w:p w14:paraId="4E0A9F4A">
      <w:pPr>
        <w:pStyle w:val="4"/>
        <w:keepNext w:val="0"/>
        <w:keepLines w:val="0"/>
        <w:spacing w:beforeLines="100" w:afterLines="100" w:line="540" w:lineRule="exact"/>
        <w:jc w:val="center"/>
        <w:rPr>
          <w:rFonts w:ascii="方正黑体_GBK" w:hAnsi="方正黑体_GBK" w:eastAsia="方正黑体_GBK" w:cs="Times New Roman"/>
          <w:b w:val="0"/>
          <w:bCs w:val="0"/>
        </w:rPr>
      </w:pPr>
      <w:r>
        <w:rPr>
          <w:rFonts w:hint="eastAsia" w:ascii="方正黑体_GBK" w:hAnsi="方正黑体_GBK" w:eastAsia="方正黑体_GBK" w:cs="方正黑体_GBK"/>
          <w:b w:val="0"/>
          <w:bCs w:val="0"/>
        </w:rPr>
        <w:t>第二十四章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实现更高质量的老龄服务</w:t>
      </w:r>
      <w:bookmarkEnd w:id="155"/>
    </w:p>
    <w:p w14:paraId="615B3299">
      <w:pPr>
        <w:pStyle w:val="5"/>
        <w:spacing w:after="200" w:line="520" w:lineRule="exact"/>
        <w:jc w:val="center"/>
        <w:rPr>
          <w:rFonts w:ascii="方正楷体_GBK" w:hAnsi="方正楷体_GBK" w:eastAsia="方正楷体_GBK"/>
          <w:b w:val="0"/>
          <w:bCs w:val="0"/>
        </w:rPr>
      </w:pPr>
      <w:bookmarkStart w:id="156" w:name="_Toc60466303"/>
      <w:r>
        <w:rPr>
          <w:rFonts w:hint="eastAsia" w:ascii="方正楷体_GBK" w:hAnsi="方正楷体_GBK" w:eastAsia="方正楷体_GBK" w:cs="方正楷体_GBK"/>
          <w:b w:val="0"/>
          <w:bCs w:val="0"/>
        </w:rPr>
        <w:t>第一节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提升老龄服务硬件水平</w:t>
      </w:r>
      <w:bookmarkEnd w:id="156"/>
    </w:p>
    <w:p w14:paraId="2A1F71BE">
      <w:pPr>
        <w:spacing w:line="590" w:lineRule="exact"/>
        <w:ind w:firstLine="629"/>
        <w:rPr>
          <w:rFonts w:eastAsia="方正仿宋_GBK"/>
          <w:sz w:val="32"/>
          <w:szCs w:val="32"/>
        </w:rPr>
      </w:pPr>
      <w:r>
        <w:rPr>
          <w:rFonts w:hint="eastAsia" w:eastAsia="方正仿宋_GBK" w:cs="方正仿宋_GBK"/>
          <w:sz w:val="32"/>
          <w:szCs w:val="32"/>
        </w:rPr>
        <w:t>深化优化以街道养老服务综合体为核心、社区居家养老服务中心为节点“</w:t>
      </w:r>
      <w:r>
        <w:rPr>
          <w:rFonts w:eastAsia="方正仿宋_GBK"/>
          <w:sz w:val="32"/>
          <w:szCs w:val="32"/>
        </w:rPr>
        <w:t>1+N</w:t>
      </w:r>
      <w:r>
        <w:rPr>
          <w:rFonts w:hint="eastAsia" w:eastAsia="方正仿宋_GBK" w:cs="方正仿宋_GBK"/>
          <w:sz w:val="32"/>
          <w:szCs w:val="32"/>
        </w:rPr>
        <w:t>”服务网络。加大老年医院、康复医院、护理院、安宁疗护机构等服务老龄人口的医养结合载体建设力度。做好适老化设计改造，改善服务条件，开展示范性老年友好型社区建设，推进老旧多层住宅加装电梯。结合老旧小区出新、有机更新，加强老年人活动场所和便利化设施建设，拓展服务老年人群的体育健身空间。到</w:t>
      </w:r>
      <w:r>
        <w:rPr>
          <w:rFonts w:eastAsia="方正仿宋_GBK"/>
          <w:sz w:val="32"/>
          <w:szCs w:val="32"/>
        </w:rPr>
        <w:t>2025</w:t>
      </w:r>
      <w:r>
        <w:rPr>
          <w:rFonts w:hint="eastAsia" w:eastAsia="方正仿宋_GBK" w:cs="方正仿宋_GBK"/>
          <w:sz w:val="32"/>
          <w:szCs w:val="32"/>
        </w:rPr>
        <w:t>年，每千名老人拥有机构养老床位数</w:t>
      </w:r>
      <w:r>
        <w:rPr>
          <w:rFonts w:eastAsia="方正仿宋_GBK"/>
          <w:sz w:val="32"/>
          <w:szCs w:val="32"/>
        </w:rPr>
        <w:t>45</w:t>
      </w:r>
      <w:r>
        <w:rPr>
          <w:rFonts w:hint="eastAsia" w:eastAsia="方正仿宋_GBK" w:cs="方正仿宋_GBK"/>
          <w:sz w:val="32"/>
          <w:szCs w:val="32"/>
        </w:rPr>
        <w:t>张，养老机构护理型床位占比达</w:t>
      </w:r>
      <w:r>
        <w:rPr>
          <w:rFonts w:eastAsia="方正仿宋_GBK"/>
          <w:sz w:val="32"/>
          <w:szCs w:val="32"/>
        </w:rPr>
        <w:t>92%</w:t>
      </w:r>
      <w:r>
        <w:rPr>
          <w:rFonts w:hint="eastAsia" w:eastAsia="方正仿宋_GBK" w:cs="方正仿宋_GBK"/>
          <w:sz w:val="32"/>
          <w:szCs w:val="32"/>
        </w:rPr>
        <w:t>，标准化社区居家养老服务中心覆盖率达</w:t>
      </w:r>
      <w:r>
        <w:rPr>
          <w:rFonts w:eastAsia="方正仿宋_GBK"/>
          <w:sz w:val="32"/>
          <w:szCs w:val="32"/>
        </w:rPr>
        <w:t>100%</w:t>
      </w:r>
      <w:r>
        <w:rPr>
          <w:rFonts w:hint="eastAsia" w:eastAsia="方正仿宋_GBK" w:cs="方正仿宋_GBK"/>
          <w:sz w:val="32"/>
          <w:szCs w:val="32"/>
        </w:rPr>
        <w:t>，居住小区养老设施配建率达</w:t>
      </w:r>
      <w:r>
        <w:rPr>
          <w:rFonts w:eastAsia="方正仿宋_GBK"/>
          <w:sz w:val="32"/>
          <w:szCs w:val="32"/>
        </w:rPr>
        <w:t>100%</w:t>
      </w:r>
      <w:r>
        <w:rPr>
          <w:rFonts w:hint="eastAsia" w:eastAsia="方正仿宋_GBK" w:cs="方正仿宋_GBK"/>
          <w:sz w:val="32"/>
          <w:szCs w:val="32"/>
        </w:rPr>
        <w:t>。</w:t>
      </w:r>
    </w:p>
    <w:p w14:paraId="1796CA61">
      <w:pPr>
        <w:pStyle w:val="5"/>
        <w:spacing w:after="200" w:line="520" w:lineRule="exact"/>
        <w:jc w:val="center"/>
        <w:rPr>
          <w:rFonts w:ascii="方正楷体_GBK" w:hAnsi="方正楷体_GBK" w:eastAsia="方正楷体_GBK"/>
          <w:b w:val="0"/>
          <w:bCs w:val="0"/>
        </w:rPr>
      </w:pPr>
      <w:bookmarkStart w:id="157" w:name="_Toc60466304"/>
      <w:r>
        <w:rPr>
          <w:rFonts w:hint="eastAsia" w:ascii="方正楷体_GBK" w:hAnsi="方正楷体_GBK" w:eastAsia="方正楷体_GBK" w:cs="方正楷体_GBK"/>
          <w:b w:val="0"/>
          <w:bCs w:val="0"/>
        </w:rPr>
        <w:t>第二节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创新老龄服务发展模式</w:t>
      </w:r>
      <w:bookmarkEnd w:id="157"/>
    </w:p>
    <w:p w14:paraId="2F905776">
      <w:pPr>
        <w:spacing w:line="590" w:lineRule="exact"/>
        <w:ind w:firstLine="629"/>
        <w:rPr>
          <w:rFonts w:eastAsia="方正仿宋_GBK"/>
          <w:sz w:val="32"/>
          <w:szCs w:val="32"/>
        </w:rPr>
      </w:pPr>
      <w:r>
        <w:rPr>
          <w:rFonts w:hint="eastAsia" w:eastAsia="方正仿宋_GBK" w:cs="方正仿宋_GBK"/>
          <w:sz w:val="32"/>
          <w:szCs w:val="32"/>
        </w:rPr>
        <w:t>支持社会资本投资兴办养老机构，形成以社会力量为主体的养老服务格局。建立完善包括健康教育、预防保健、疾病诊治、康复护理、长期照护、安宁疗护的综合性、连续性老年健康服务体系。引导、规范多元市场主体进入养老市场，鼓励养老机构探索跨界养老商业模式。探索建立长期照护保障制度，开展长期护理保险试点工作，健全针对经济困难的高龄、失能老年人的补贴制度，发挥社会救助、慈善救济等补充作用。推动“互联网</w:t>
      </w:r>
      <w:r>
        <w:rPr>
          <w:rFonts w:eastAsia="方正仿宋_GBK"/>
          <w:sz w:val="32"/>
          <w:szCs w:val="32"/>
        </w:rPr>
        <w:t>+</w:t>
      </w:r>
      <w:r>
        <w:rPr>
          <w:rFonts w:hint="eastAsia" w:eastAsia="方正仿宋_GBK" w:cs="方正仿宋_GBK"/>
          <w:sz w:val="32"/>
          <w:szCs w:val="32"/>
        </w:rPr>
        <w:t>居家”和社区养老服务应用模式。完善智慧养老服务信息系统，依托社区治理网格，实现业务工作网上办理，服务质量实时监管，养老服务线上线下同步运行，实现老龄人口全程在线跟踪服务。</w:t>
      </w:r>
    </w:p>
    <w:p w14:paraId="3834CEDF">
      <w:pPr>
        <w:pStyle w:val="5"/>
        <w:spacing w:after="200" w:line="520" w:lineRule="exact"/>
        <w:jc w:val="center"/>
        <w:rPr>
          <w:rFonts w:ascii="方正楷体_GBK" w:hAnsi="方正楷体_GBK" w:eastAsia="方正楷体_GBK"/>
          <w:b w:val="0"/>
          <w:bCs w:val="0"/>
        </w:rPr>
      </w:pPr>
      <w:bookmarkStart w:id="158" w:name="_Toc60466305"/>
      <w:r>
        <w:rPr>
          <w:rFonts w:hint="eastAsia" w:ascii="方正楷体_GBK" w:hAnsi="方正楷体_GBK" w:eastAsia="方正楷体_GBK" w:cs="方正楷体_GBK"/>
          <w:b w:val="0"/>
          <w:bCs w:val="0"/>
        </w:rPr>
        <w:t>第三节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优化推广医养结合模式</w:t>
      </w:r>
      <w:bookmarkEnd w:id="158"/>
    </w:p>
    <w:p w14:paraId="4643D7D3">
      <w:pPr>
        <w:spacing w:line="590" w:lineRule="exact"/>
        <w:ind w:firstLine="629"/>
        <w:rPr>
          <w:rFonts w:eastAsia="方正仿宋_GBK"/>
          <w:sz w:val="32"/>
          <w:szCs w:val="32"/>
        </w:rPr>
      </w:pPr>
      <w:r>
        <w:rPr>
          <w:rFonts w:hint="eastAsia" w:eastAsia="方正仿宋_GBK" w:cs="方正仿宋_GBK"/>
          <w:sz w:val="32"/>
          <w:szCs w:val="32"/>
        </w:rPr>
        <w:t>建立首诊式家庭医生服务模式，提高家庭医生上门服务能力，提高老龄人口居家医养服务水平。制定为居家老人提供医疗护理服务清单和服务规范，力争纳入医保范围，保障基本卫生服务项目覆盖社区全体老人。建立社区医院和临近养老服务机构联动，提供常态化“巡诊式”、“出诊式”医疗卫生服务，对医疗护理能力不足的养老服务机构进行托底服务，签约服务率达</w:t>
      </w:r>
      <w:r>
        <w:rPr>
          <w:rFonts w:eastAsia="方正仿宋_GBK"/>
          <w:sz w:val="32"/>
          <w:szCs w:val="32"/>
        </w:rPr>
        <w:t>100%</w:t>
      </w:r>
      <w:r>
        <w:rPr>
          <w:rFonts w:hint="eastAsia" w:eastAsia="方正仿宋_GBK" w:cs="方正仿宋_GBK"/>
          <w:sz w:val="32"/>
          <w:szCs w:val="32"/>
        </w:rPr>
        <w:t>。</w:t>
      </w:r>
      <w:r>
        <w:rPr>
          <w:rFonts w:eastAsia="方正仿宋_GBK"/>
          <w:sz w:val="32"/>
          <w:szCs w:val="32"/>
        </w:rPr>
        <w:t> </w:t>
      </w:r>
    </w:p>
    <w:tbl>
      <w:tblPr>
        <w:tblStyle w:val="12"/>
        <w:tblW w:w="5000" w:type="pct"/>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7F3D5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0D6A0F43">
            <w:pPr>
              <w:spacing w:line="520" w:lineRule="exact"/>
              <w:jc w:val="center"/>
              <w:rPr>
                <w:rFonts w:eastAsia="方正黑体_GBK"/>
                <w:sz w:val="24"/>
                <w:szCs w:val="24"/>
              </w:rPr>
            </w:pPr>
            <w:r>
              <w:rPr>
                <w:rFonts w:hint="eastAsia" w:eastAsia="方正黑体简体" w:cs="方正黑体简体"/>
                <w:sz w:val="24"/>
                <w:szCs w:val="24"/>
              </w:rPr>
              <w:t>专栏八：养老高质量工程</w:t>
            </w:r>
          </w:p>
        </w:tc>
      </w:tr>
      <w:tr w14:paraId="0D95B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5000" w:type="pct"/>
          </w:tcPr>
          <w:p w14:paraId="4E12B20B">
            <w:pPr>
              <w:spacing w:line="480" w:lineRule="exact"/>
              <w:jc w:val="left"/>
              <w:rPr>
                <w:sz w:val="22"/>
                <w:szCs w:val="22"/>
              </w:rPr>
            </w:pPr>
            <w:r>
              <w:rPr>
                <w:rFonts w:eastAsia="方正黑体_GBK"/>
                <w:sz w:val="24"/>
                <w:szCs w:val="24"/>
              </w:rPr>
              <w:t>1</w:t>
            </w:r>
            <w:r>
              <w:rPr>
                <w:rFonts w:hint="eastAsia" w:cs="宋体"/>
                <w:sz w:val="22"/>
                <w:szCs w:val="22"/>
              </w:rPr>
              <w:t>、优化养老服务资源布局工程：在老城，新建住宅按照每百户不少于</w:t>
            </w:r>
            <w:r>
              <w:rPr>
                <w:sz w:val="22"/>
                <w:szCs w:val="22"/>
              </w:rPr>
              <w:t>30</w:t>
            </w:r>
            <w:r>
              <w:rPr>
                <w:rFonts w:hint="eastAsia" w:cs="宋体"/>
                <w:sz w:val="22"/>
                <w:szCs w:val="22"/>
              </w:rPr>
              <w:t>平方米的标准配套建设养老服务用房，重点发展“嵌入式”居家养老服务中心和普惠型养老机构；在南部新城，建设</w:t>
            </w:r>
            <w:r>
              <w:rPr>
                <w:sz w:val="22"/>
                <w:szCs w:val="22"/>
              </w:rPr>
              <w:t>5</w:t>
            </w:r>
            <w:r>
              <w:rPr>
                <w:rFonts w:hint="eastAsia" w:cs="宋体"/>
                <w:sz w:val="22"/>
                <w:szCs w:val="22"/>
              </w:rPr>
              <w:t>个中型居家养老服务中心、</w:t>
            </w:r>
            <w:r>
              <w:rPr>
                <w:sz w:val="22"/>
                <w:szCs w:val="22"/>
              </w:rPr>
              <w:t>2</w:t>
            </w:r>
            <w:r>
              <w:rPr>
                <w:rFonts w:hint="eastAsia" w:cs="宋体"/>
                <w:sz w:val="22"/>
                <w:szCs w:val="22"/>
              </w:rPr>
              <w:t>个日托所、</w:t>
            </w:r>
            <w:r>
              <w:rPr>
                <w:sz w:val="22"/>
                <w:szCs w:val="22"/>
              </w:rPr>
              <w:t>3</w:t>
            </w:r>
            <w:r>
              <w:rPr>
                <w:rFonts w:hint="eastAsia" w:cs="宋体"/>
                <w:sz w:val="22"/>
                <w:szCs w:val="22"/>
              </w:rPr>
              <w:t>个社区养老院，重点引进大型养老集团建设老年人托养中心、养老机构、临终关怀项目</w:t>
            </w:r>
          </w:p>
          <w:p w14:paraId="735F1CFF">
            <w:pPr>
              <w:spacing w:line="480" w:lineRule="exact"/>
              <w:jc w:val="left"/>
              <w:rPr>
                <w:sz w:val="22"/>
                <w:szCs w:val="22"/>
              </w:rPr>
            </w:pPr>
            <w:r>
              <w:rPr>
                <w:sz w:val="22"/>
                <w:szCs w:val="22"/>
              </w:rPr>
              <w:t>2</w:t>
            </w:r>
            <w:r>
              <w:rPr>
                <w:rFonts w:hint="eastAsia" w:cs="宋体"/>
                <w:sz w:val="22"/>
                <w:szCs w:val="22"/>
              </w:rPr>
              <w:t>、养老信息服务平台建设工程：通过智慧眼捕捉、智慧脑处理、智慧手服务，建设养老服务质量指导中心，采取“政府购买服务</w:t>
            </w:r>
            <w:r>
              <w:rPr>
                <w:sz w:val="22"/>
                <w:szCs w:val="22"/>
              </w:rPr>
              <w:t>+</w:t>
            </w:r>
            <w:r>
              <w:rPr>
                <w:rFonts w:hint="eastAsia" w:cs="宋体"/>
                <w:sz w:val="22"/>
                <w:szCs w:val="22"/>
              </w:rPr>
              <w:t>委托第三方运营”方式建设运营区养老服务信息平台，提供</w:t>
            </w:r>
            <w:r>
              <w:rPr>
                <w:sz w:val="22"/>
                <w:szCs w:val="22"/>
              </w:rPr>
              <w:t>24</w:t>
            </w:r>
            <w:r>
              <w:rPr>
                <w:rFonts w:hint="eastAsia" w:cs="宋体"/>
                <w:sz w:val="22"/>
                <w:szCs w:val="22"/>
              </w:rPr>
              <w:t>小时呼叫服务，推动互联网</w:t>
            </w:r>
            <w:r>
              <w:rPr>
                <w:sz w:val="22"/>
                <w:szCs w:val="22"/>
              </w:rPr>
              <w:t>+</w:t>
            </w:r>
            <w:r>
              <w:rPr>
                <w:rFonts w:hint="eastAsia" w:cs="宋体"/>
                <w:sz w:val="22"/>
                <w:szCs w:val="22"/>
              </w:rPr>
              <w:t>居家和社区养老服务应用</w:t>
            </w:r>
          </w:p>
          <w:p w14:paraId="677605FF">
            <w:pPr>
              <w:spacing w:line="480" w:lineRule="exact"/>
              <w:jc w:val="left"/>
              <w:rPr>
                <w:rFonts w:eastAsia="方正黑体_GBK"/>
                <w:sz w:val="24"/>
                <w:szCs w:val="24"/>
              </w:rPr>
            </w:pPr>
            <w:r>
              <w:rPr>
                <w:sz w:val="22"/>
                <w:szCs w:val="22"/>
              </w:rPr>
              <w:t>3</w:t>
            </w:r>
            <w:r>
              <w:rPr>
                <w:rFonts w:hint="eastAsia" w:cs="宋体"/>
                <w:sz w:val="22"/>
                <w:szCs w:val="22"/>
              </w:rPr>
              <w:t>、医养结合工程：推动社区医院和临近养老服务机构签订协议，根据不同类型老人需求提供常态化的“巡诊式”或“出诊式”医疗卫生服务，对医疗护理能力不足的养老服务机构进行托底服务，实现签约服务率</w:t>
            </w:r>
            <w:r>
              <w:rPr>
                <w:sz w:val="22"/>
                <w:szCs w:val="22"/>
              </w:rPr>
              <w:t>100%</w:t>
            </w:r>
            <w:r>
              <w:rPr>
                <w:rFonts w:hint="eastAsia" w:cs="宋体"/>
                <w:sz w:val="22"/>
                <w:szCs w:val="22"/>
              </w:rPr>
              <w:t>；各街道至少建成</w:t>
            </w:r>
            <w:r>
              <w:rPr>
                <w:sz w:val="22"/>
                <w:szCs w:val="22"/>
              </w:rPr>
              <w:t>1</w:t>
            </w:r>
            <w:r>
              <w:rPr>
                <w:rFonts w:hint="eastAsia" w:cs="宋体"/>
                <w:sz w:val="22"/>
                <w:szCs w:val="22"/>
              </w:rPr>
              <w:t>个既有养老功能又具备健康管理、咨询和康复护理服务的社区居家养老综合护理中心</w:t>
            </w:r>
          </w:p>
        </w:tc>
      </w:tr>
    </w:tbl>
    <w:p w14:paraId="210321F7"/>
    <w:p w14:paraId="70FD6A55">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159" w:name="_Toc60466306"/>
      <w:r>
        <w:rPr>
          <w:rFonts w:hint="eastAsia" w:ascii="方正黑体_GBK" w:hAnsi="方正黑体_GBK" w:eastAsia="方正黑体_GBK" w:cs="方正黑体_GBK"/>
          <w:b w:val="0"/>
          <w:bCs w:val="0"/>
        </w:rPr>
        <w:t>第二十五章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实现更高质量的文体生活</w:t>
      </w:r>
      <w:bookmarkEnd w:id="159"/>
    </w:p>
    <w:p w14:paraId="514F8F5F">
      <w:pPr>
        <w:pStyle w:val="5"/>
        <w:spacing w:after="200" w:line="520" w:lineRule="exact"/>
        <w:jc w:val="center"/>
        <w:rPr>
          <w:rFonts w:ascii="方正楷体_GBK" w:hAnsi="方正楷体_GBK" w:eastAsia="方正楷体_GBK"/>
          <w:b w:val="0"/>
          <w:bCs w:val="0"/>
        </w:rPr>
      </w:pPr>
      <w:bookmarkStart w:id="160" w:name="_Toc60466307"/>
      <w:r>
        <w:rPr>
          <w:rFonts w:hint="eastAsia" w:ascii="方正楷体_GBK" w:hAnsi="方正楷体_GBK" w:eastAsia="方正楷体_GBK" w:cs="方正楷体_GBK"/>
          <w:b w:val="0"/>
          <w:bCs w:val="0"/>
        </w:rPr>
        <w:t>第一节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完善公共文化服务体系</w:t>
      </w:r>
      <w:bookmarkEnd w:id="160"/>
    </w:p>
    <w:p w14:paraId="4798D81F">
      <w:pPr>
        <w:spacing w:line="590" w:lineRule="exact"/>
        <w:ind w:firstLine="629"/>
        <w:rPr>
          <w:rFonts w:eastAsia="方正仿宋_GBK"/>
          <w:sz w:val="32"/>
          <w:szCs w:val="32"/>
        </w:rPr>
      </w:pPr>
      <w:r>
        <w:rPr>
          <w:rFonts w:hint="eastAsia" w:eastAsia="方正仿宋_GBK" w:cs="方正仿宋_GBK"/>
          <w:sz w:val="32"/>
          <w:szCs w:val="32"/>
        </w:rPr>
        <w:t>实施文化体育惠民工程，优化提升区、街道、社区三级基层文体阵地网络。增添优质公共空间，新城片区高标准规划建设，老城片区高品质提升改造一批社区服务中心、文体广场，推动街区、园区、景区文体设施建设和功能提升。支持市场文化载体升级为综合性文化体验中心，构建覆盖全域、结构合理、功能健全、实用高效、多元参与的公共文化体育设施网络。到</w:t>
      </w:r>
      <w:r>
        <w:rPr>
          <w:rFonts w:eastAsia="方正仿宋_GBK"/>
          <w:sz w:val="32"/>
          <w:szCs w:val="32"/>
        </w:rPr>
        <w:t>2025</w:t>
      </w:r>
      <w:r>
        <w:rPr>
          <w:rFonts w:hint="eastAsia" w:eastAsia="方正仿宋_GBK" w:cs="方正仿宋_GBK"/>
          <w:sz w:val="32"/>
          <w:szCs w:val="32"/>
        </w:rPr>
        <w:t>年，人均公共文化体育设施面积达</w:t>
      </w:r>
      <w:r>
        <w:rPr>
          <w:rFonts w:eastAsia="方正仿宋_GBK"/>
          <w:sz w:val="32"/>
          <w:szCs w:val="32"/>
        </w:rPr>
        <w:t>2.2</w:t>
      </w:r>
      <w:r>
        <w:rPr>
          <w:rFonts w:hint="eastAsia" w:eastAsia="方正仿宋_GBK" w:cs="方正仿宋_GBK"/>
          <w:sz w:val="32"/>
          <w:szCs w:val="32"/>
        </w:rPr>
        <w:t>平方米，公共文化体育资源利用效率和综合效益超</w:t>
      </w:r>
      <w:r>
        <w:rPr>
          <w:rFonts w:eastAsia="方正仿宋_GBK"/>
          <w:sz w:val="32"/>
          <w:szCs w:val="32"/>
        </w:rPr>
        <w:t>90%</w:t>
      </w:r>
      <w:r>
        <w:rPr>
          <w:rFonts w:hint="eastAsia" w:eastAsia="方正仿宋_GBK" w:cs="方正仿宋_GBK"/>
          <w:sz w:val="32"/>
          <w:szCs w:val="32"/>
        </w:rPr>
        <w:t>。</w:t>
      </w:r>
    </w:p>
    <w:p w14:paraId="2FF01972">
      <w:pPr>
        <w:pStyle w:val="5"/>
        <w:spacing w:after="200" w:line="520" w:lineRule="exact"/>
        <w:jc w:val="center"/>
        <w:rPr>
          <w:rFonts w:ascii="方正楷体_GBK" w:hAnsi="方正楷体_GBK" w:eastAsia="方正楷体_GBK"/>
          <w:b w:val="0"/>
          <w:bCs w:val="0"/>
        </w:rPr>
      </w:pPr>
      <w:bookmarkStart w:id="161" w:name="_Toc60466308"/>
      <w:r>
        <w:rPr>
          <w:rFonts w:hint="eastAsia" w:ascii="方正楷体_GBK" w:hAnsi="方正楷体_GBK" w:eastAsia="方正楷体_GBK" w:cs="方正楷体_GBK"/>
          <w:b w:val="0"/>
          <w:bCs w:val="0"/>
        </w:rPr>
        <w:t>第二节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提升文体设施使用效率</w:t>
      </w:r>
      <w:bookmarkEnd w:id="161"/>
    </w:p>
    <w:p w14:paraId="2A1CBB0C">
      <w:pPr>
        <w:spacing w:line="590" w:lineRule="exact"/>
        <w:ind w:firstLine="629"/>
        <w:rPr>
          <w:rFonts w:eastAsia="方正仿宋_GBK"/>
          <w:sz w:val="32"/>
          <w:szCs w:val="32"/>
        </w:rPr>
      </w:pPr>
      <w:r>
        <w:rPr>
          <w:rFonts w:hint="eastAsia" w:eastAsia="方正仿宋_GBK" w:cs="方正仿宋_GBK"/>
          <w:sz w:val="32"/>
          <w:szCs w:val="32"/>
        </w:rPr>
        <w:t>整合文体资源，建立健全公共文化体育资源配置和供给机制。增强秦淮区文化馆、图书馆总分馆服务功能，街道文体广场全覆盖。推动公共文化体育服务体系数字化建设，提高公共文化体育服务的科技含量，普及数字化服务管理模式，基本形成信息化全覆盖网络。建立文化场馆合作机制，实现街道图书馆“一卡通”，综合性体育健身运动场馆“一卡通”，实现全域博物馆、展览馆、园区景区等文化空间交流联动，提升“转角遇见”文化空间、沿秦淮河小剧场群使用效率，发挥文化传播功能。</w:t>
      </w:r>
    </w:p>
    <w:p w14:paraId="3CD90266">
      <w:pPr>
        <w:pStyle w:val="5"/>
        <w:spacing w:after="200" w:line="520" w:lineRule="exact"/>
        <w:jc w:val="center"/>
        <w:rPr>
          <w:rFonts w:ascii="方正楷体_GBK" w:hAnsi="方正楷体_GBK" w:eastAsia="方正楷体_GBK"/>
          <w:b w:val="0"/>
          <w:bCs w:val="0"/>
        </w:rPr>
      </w:pPr>
      <w:bookmarkStart w:id="162" w:name="_Toc60466309"/>
      <w:r>
        <w:rPr>
          <w:rFonts w:hint="eastAsia" w:ascii="方正楷体_GBK" w:hAnsi="方正楷体_GBK" w:eastAsia="方正楷体_GBK" w:cs="方正楷体_GBK"/>
          <w:b w:val="0"/>
          <w:bCs w:val="0"/>
        </w:rPr>
        <w:t>第三节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扩大活动影响力参与度</w:t>
      </w:r>
      <w:bookmarkEnd w:id="162"/>
    </w:p>
    <w:p w14:paraId="65F5A5A3">
      <w:pPr>
        <w:spacing w:line="590" w:lineRule="exact"/>
        <w:ind w:firstLine="629"/>
        <w:rPr>
          <w:rFonts w:eastAsia="方正仿宋_GBK"/>
          <w:sz w:val="32"/>
          <w:szCs w:val="32"/>
        </w:rPr>
      </w:pPr>
      <w:r>
        <w:rPr>
          <w:rFonts w:hint="eastAsia" w:eastAsia="方正仿宋_GBK" w:cs="方正仿宋_GBK"/>
          <w:sz w:val="32"/>
          <w:szCs w:val="32"/>
        </w:rPr>
        <w:t>打造群众文化活动品牌，推动秦淮灯会、秦淮和谐大戏、秦淮之夏、都市文化节为代表的秦淮“四季歌”活动创新，打响“秦淮城墙马拉松”等体育品牌，扩大影响力。加大文化体育活动惠民力度，推进公共服务均衡协调发展，年均组织各类文化活动超过</w:t>
      </w:r>
      <w:r>
        <w:rPr>
          <w:rFonts w:eastAsia="方正仿宋_GBK"/>
          <w:sz w:val="32"/>
          <w:szCs w:val="32"/>
        </w:rPr>
        <w:t>1500</w:t>
      </w:r>
      <w:r>
        <w:rPr>
          <w:rFonts w:hint="eastAsia" w:eastAsia="方正仿宋_GBK" w:cs="方正仿宋_GBK"/>
          <w:sz w:val="32"/>
          <w:szCs w:val="32"/>
        </w:rPr>
        <w:t>场（次），体育活动</w:t>
      </w:r>
      <w:r>
        <w:rPr>
          <w:rFonts w:eastAsia="方正仿宋_GBK"/>
          <w:sz w:val="32"/>
          <w:szCs w:val="32"/>
        </w:rPr>
        <w:t>300</w:t>
      </w:r>
      <w:r>
        <w:rPr>
          <w:rFonts w:hint="eastAsia" w:eastAsia="方正仿宋_GBK" w:cs="方正仿宋_GBK"/>
          <w:sz w:val="32"/>
          <w:szCs w:val="32"/>
        </w:rPr>
        <w:t>场（次）。构建市民文化、机关文化、园区文化等群众文化共同体，巩固发展特色群众文体活动团队，推动团队活动市场化建设。加快“书香秦淮”建设，通过书香社区等活动，组织引导各方阅读资源和社会力量，营造“多读书、读好书、好读书”的良好氛围。</w:t>
      </w:r>
    </w:p>
    <w:p w14:paraId="49961DBD">
      <w:pPr>
        <w:pStyle w:val="5"/>
        <w:spacing w:after="200" w:line="520" w:lineRule="exact"/>
        <w:jc w:val="center"/>
        <w:rPr>
          <w:rFonts w:ascii="方正楷体_GBK" w:hAnsi="方正楷体_GBK" w:eastAsia="方正楷体_GBK"/>
          <w:b w:val="0"/>
          <w:bCs w:val="0"/>
        </w:rPr>
      </w:pPr>
      <w:bookmarkStart w:id="163" w:name="_Toc60466310"/>
      <w:r>
        <w:rPr>
          <w:rFonts w:hint="eastAsia" w:ascii="方正楷体_GBK" w:hAnsi="方正楷体_GBK" w:eastAsia="方正楷体_GBK" w:cs="方正楷体_GBK"/>
          <w:b w:val="0"/>
          <w:bCs w:val="0"/>
        </w:rPr>
        <w:t>第四节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持续推进健康秦淮建设</w:t>
      </w:r>
      <w:bookmarkEnd w:id="163"/>
    </w:p>
    <w:p w14:paraId="005F22C0">
      <w:pPr>
        <w:spacing w:line="590" w:lineRule="exact"/>
        <w:ind w:firstLine="629"/>
        <w:rPr>
          <w:rFonts w:eastAsia="方正仿宋_GBK"/>
          <w:sz w:val="32"/>
          <w:szCs w:val="32"/>
        </w:rPr>
      </w:pPr>
      <w:r>
        <w:rPr>
          <w:rFonts w:hint="eastAsia" w:eastAsia="方正仿宋_GBK" w:cs="方正仿宋_GBK"/>
          <w:sz w:val="32"/>
          <w:szCs w:val="32"/>
        </w:rPr>
        <w:t>以建设体育强区为引领，广泛开展全民健身活动，建成投用南部新城全民健身中心，建成河头地区、双龙产业园区体育主题公园。推进“体医融合”、促进“体教融合”发展，加强体育、卫健、教育等部门协同，建立体医融和、体教融合部门联席会议制度。在全省率先启动依托医疗机构、国民体质监测站建设区、街、社区运动促进健康中心（站、点）试点工作，居民健康素养高于全省平均水平。促进鼓励青少年体育运动，开足开齐体育课，实现传统体育与校园体育有效衔接，突出轮滑、射箭、蹦床、女排、女篮等秦淮体育强项，促进优势体育项目进校园，实施“为市争光”计划。深入推进足球改革发展，建设全区青少年足球梯队。完善业余训练运动员入口、成长、出口机制，着力为国家培养体育后备人才。到</w:t>
      </w:r>
      <w:r>
        <w:rPr>
          <w:rFonts w:eastAsia="方正仿宋_GBK"/>
          <w:sz w:val="32"/>
          <w:szCs w:val="32"/>
        </w:rPr>
        <w:t>2025</w:t>
      </w:r>
      <w:r>
        <w:rPr>
          <w:rFonts w:hint="eastAsia" w:eastAsia="方正仿宋_GBK" w:cs="方正仿宋_GBK"/>
          <w:sz w:val="32"/>
          <w:szCs w:val="32"/>
        </w:rPr>
        <w:t>年，全区中小学生体质合格率稳定在</w:t>
      </w:r>
      <w:r>
        <w:rPr>
          <w:rFonts w:eastAsia="方正仿宋_GBK"/>
          <w:sz w:val="32"/>
          <w:szCs w:val="32"/>
        </w:rPr>
        <w:t>94%</w:t>
      </w:r>
      <w:r>
        <w:rPr>
          <w:rFonts w:hint="eastAsia" w:eastAsia="方正仿宋_GBK" w:cs="方正仿宋_GBK"/>
          <w:sz w:val="32"/>
          <w:szCs w:val="32"/>
        </w:rPr>
        <w:t>以上，体育锻炼人口比例达</w:t>
      </w:r>
      <w:r>
        <w:rPr>
          <w:rFonts w:eastAsia="方正仿宋_GBK"/>
          <w:sz w:val="32"/>
          <w:szCs w:val="32"/>
        </w:rPr>
        <w:t>43%</w:t>
      </w:r>
      <w:r>
        <w:rPr>
          <w:rFonts w:hint="eastAsia" w:eastAsia="方正仿宋_GBK" w:cs="方正仿宋_GBK"/>
          <w:sz w:val="32"/>
          <w:szCs w:val="32"/>
        </w:rPr>
        <w:t>，国民体质测试合格率超</w:t>
      </w:r>
      <w:r>
        <w:rPr>
          <w:rFonts w:eastAsia="方正仿宋_GBK"/>
          <w:sz w:val="32"/>
          <w:szCs w:val="32"/>
        </w:rPr>
        <w:t>93%</w:t>
      </w:r>
      <w:r>
        <w:rPr>
          <w:rFonts w:hint="eastAsia" w:eastAsia="方正仿宋_GBK" w:cs="方正仿宋_GBK"/>
          <w:sz w:val="32"/>
          <w:szCs w:val="32"/>
        </w:rPr>
        <w:t>。</w:t>
      </w:r>
    </w:p>
    <w:tbl>
      <w:tblPr>
        <w:tblStyle w:val="12"/>
        <w:tblW w:w="5000" w:type="pct"/>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0CBF4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tcPr>
          <w:p w14:paraId="66E79280">
            <w:pPr>
              <w:spacing w:line="520" w:lineRule="exact"/>
              <w:jc w:val="center"/>
              <w:rPr>
                <w:rFonts w:eastAsia="方正黑体_GBK"/>
                <w:sz w:val="24"/>
                <w:szCs w:val="24"/>
              </w:rPr>
            </w:pPr>
            <w:r>
              <w:rPr>
                <w:rFonts w:hint="eastAsia" w:eastAsia="方正黑体简体" w:cs="方正黑体简体"/>
                <w:sz w:val="24"/>
                <w:szCs w:val="24"/>
              </w:rPr>
              <w:t>专栏九：文化体育高质量发展工程</w:t>
            </w:r>
          </w:p>
        </w:tc>
      </w:tr>
      <w:tr w14:paraId="6234D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5000" w:type="pct"/>
          </w:tcPr>
          <w:p w14:paraId="4B959DBC">
            <w:pPr>
              <w:spacing w:line="460" w:lineRule="exact"/>
              <w:jc w:val="left"/>
              <w:rPr>
                <w:sz w:val="22"/>
                <w:szCs w:val="22"/>
              </w:rPr>
            </w:pPr>
            <w:r>
              <w:rPr>
                <w:sz w:val="22"/>
                <w:szCs w:val="22"/>
              </w:rPr>
              <w:t>1</w:t>
            </w:r>
            <w:r>
              <w:rPr>
                <w:rFonts w:hint="eastAsia" w:cs="宋体"/>
                <w:sz w:val="22"/>
                <w:szCs w:val="22"/>
              </w:rPr>
              <w:t>、文体阵地建设工程：建成南部新城艺术中心、南部新城全民健身中心、南京名人馆及配套、南京博物院故宫馆新馆建设；完成科举博物馆二期、南京城墙博物馆、市工人文化宫建设；拓展秦淮区文化馆、图书馆和“转角遇见”文化空间，完成</w:t>
            </w:r>
            <w:r>
              <w:rPr>
                <w:sz w:val="22"/>
                <w:szCs w:val="22"/>
              </w:rPr>
              <w:t>6</w:t>
            </w:r>
            <w:r>
              <w:rPr>
                <w:rFonts w:hint="eastAsia" w:cs="宋体"/>
                <w:sz w:val="22"/>
                <w:szCs w:val="22"/>
              </w:rPr>
              <w:t>个街道</w:t>
            </w:r>
            <w:r>
              <w:rPr>
                <w:sz w:val="22"/>
                <w:szCs w:val="22"/>
              </w:rPr>
              <w:t>24</w:t>
            </w:r>
            <w:r>
              <w:rPr>
                <w:rFonts w:hint="eastAsia" w:cs="宋体"/>
                <w:sz w:val="22"/>
                <w:szCs w:val="22"/>
              </w:rPr>
              <w:t>小时书屋建设，提升沿秦淮河小剧场群功能；在</w:t>
            </w:r>
            <w:r>
              <w:rPr>
                <w:sz w:val="22"/>
                <w:szCs w:val="22"/>
              </w:rPr>
              <w:t>12</w:t>
            </w:r>
            <w:r>
              <w:rPr>
                <w:rFonts w:hint="eastAsia" w:cs="宋体"/>
                <w:sz w:val="22"/>
                <w:szCs w:val="22"/>
              </w:rPr>
              <w:t>个街道建成不少于</w:t>
            </w:r>
            <w:r>
              <w:rPr>
                <w:sz w:val="22"/>
                <w:szCs w:val="22"/>
              </w:rPr>
              <w:t>5</w:t>
            </w:r>
            <w:r>
              <w:rPr>
                <w:rFonts w:hint="eastAsia" w:cs="宋体"/>
                <w:sz w:val="22"/>
                <w:szCs w:val="22"/>
              </w:rPr>
              <w:t>个体育项目的文体广场；鼓励驻区部队、院校、企业的文体活动场所有条件的向居民开放，推进文体阵地进一步向园区、街区、景区延伸；建成南部新城河头地区、双龙产业园区体育主题公园；年新建健身步道不少于</w:t>
            </w:r>
            <w:r>
              <w:rPr>
                <w:sz w:val="22"/>
                <w:szCs w:val="22"/>
              </w:rPr>
              <w:t>6</w:t>
            </w:r>
            <w:r>
              <w:rPr>
                <w:rFonts w:hint="eastAsia" w:cs="宋体"/>
                <w:sz w:val="22"/>
                <w:szCs w:val="22"/>
              </w:rPr>
              <w:t>公里；年新建健身小绿园</w:t>
            </w:r>
            <w:r>
              <w:rPr>
                <w:sz w:val="22"/>
                <w:szCs w:val="22"/>
              </w:rPr>
              <w:t>3</w:t>
            </w:r>
            <w:r>
              <w:rPr>
                <w:rFonts w:hint="eastAsia" w:cs="宋体"/>
                <w:sz w:val="22"/>
                <w:szCs w:val="22"/>
              </w:rPr>
              <w:t>个</w:t>
            </w:r>
          </w:p>
          <w:p w14:paraId="2A6E179C">
            <w:pPr>
              <w:spacing w:line="460" w:lineRule="exact"/>
              <w:jc w:val="left"/>
              <w:rPr>
                <w:sz w:val="22"/>
                <w:szCs w:val="22"/>
              </w:rPr>
            </w:pPr>
            <w:r>
              <w:rPr>
                <w:sz w:val="22"/>
                <w:szCs w:val="22"/>
              </w:rPr>
              <w:t>2</w:t>
            </w:r>
            <w:r>
              <w:rPr>
                <w:rFonts w:hint="eastAsia" w:cs="宋体"/>
                <w:sz w:val="22"/>
                <w:szCs w:val="22"/>
              </w:rPr>
              <w:t>、文体精品打造工程：实施文化品牌再创计划，创新“秦淮灯会、和谐大戏园、秦淮之夏社区艺术节、都市文化节”“四季歌”形式，打造文化惠民直通车；加快“书香秦淮”建设，通过开展书香社区、书香家庭、书香企业、书香机关等活动，营造“多读书、读好书、好读书”的良好氛围；进一步打响“秦淮城墙马拉松”等体育运动品牌，争创中国田协金牌赛事</w:t>
            </w:r>
          </w:p>
          <w:p w14:paraId="706E8760">
            <w:pPr>
              <w:spacing w:line="460" w:lineRule="exact"/>
              <w:jc w:val="left"/>
              <w:rPr>
                <w:sz w:val="22"/>
                <w:szCs w:val="22"/>
              </w:rPr>
            </w:pPr>
            <w:r>
              <w:rPr>
                <w:sz w:val="22"/>
                <w:szCs w:val="22"/>
              </w:rPr>
              <w:t>3</w:t>
            </w:r>
            <w:r>
              <w:rPr>
                <w:rFonts w:hint="eastAsia" w:cs="宋体"/>
                <w:sz w:val="22"/>
                <w:szCs w:val="22"/>
              </w:rPr>
              <w:t>、文化人才培养工程：实施高端文化人才引培计划，壮大公共文化政策研究和决策咨询队伍，建立健全重大文化项目首席专家制度；实施民间文化人才壮大计划，培养本土文化能人、民族民间文化传承人；拓展多种文化人才培养晋升渠道，重点实施技术型文化人才培训计划、管理型文化人才培训计划与服务型文化人才晋升计划</w:t>
            </w:r>
          </w:p>
          <w:p w14:paraId="03DBD36C">
            <w:pPr>
              <w:spacing w:line="460" w:lineRule="exact"/>
              <w:jc w:val="left"/>
              <w:rPr>
                <w:rFonts w:eastAsia="方正黑体_GBK"/>
                <w:sz w:val="24"/>
                <w:szCs w:val="24"/>
              </w:rPr>
            </w:pPr>
            <w:r>
              <w:rPr>
                <w:sz w:val="22"/>
                <w:szCs w:val="22"/>
              </w:rPr>
              <w:t>4</w:t>
            </w:r>
            <w:r>
              <w:rPr>
                <w:rFonts w:hint="eastAsia" w:cs="宋体"/>
                <w:sz w:val="22"/>
                <w:szCs w:val="22"/>
              </w:rPr>
              <w:t>、体育人才成长工程：顺应青少年体育运动发展规律，促进优势体育项目进校园，突出轮滑、射箭、蹦床、女排、女篮等秦淮体育强项，实施“为市争光”计划；完善业余训练运动员入口、成长、出口机制，每年向上一级运动队输送体育后备人才不少于</w:t>
            </w:r>
            <w:r>
              <w:rPr>
                <w:sz w:val="22"/>
                <w:szCs w:val="22"/>
              </w:rPr>
              <w:t>20</w:t>
            </w:r>
            <w:r>
              <w:rPr>
                <w:rFonts w:hint="eastAsia" w:cs="宋体"/>
                <w:sz w:val="22"/>
                <w:szCs w:val="22"/>
              </w:rPr>
              <w:t>人</w:t>
            </w:r>
          </w:p>
        </w:tc>
      </w:tr>
    </w:tbl>
    <w:p w14:paraId="4514C5B7">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164" w:name="_Toc60466311"/>
      <w:r>
        <w:rPr>
          <w:rFonts w:hint="eastAsia" w:ascii="方正黑体_GBK" w:hAnsi="方正黑体_GBK" w:eastAsia="方正黑体_GBK" w:cs="方正黑体_GBK"/>
          <w:b w:val="0"/>
          <w:bCs w:val="0"/>
        </w:rPr>
        <w:t>第二十六章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实现更高质量的就业创业</w:t>
      </w:r>
      <w:bookmarkEnd w:id="164"/>
    </w:p>
    <w:p w14:paraId="36B58050">
      <w:pPr>
        <w:pStyle w:val="5"/>
        <w:spacing w:after="200" w:line="520" w:lineRule="exact"/>
        <w:jc w:val="center"/>
        <w:rPr>
          <w:rFonts w:ascii="方正楷体_GBK" w:hAnsi="方正楷体_GBK" w:eastAsia="方正楷体_GBK"/>
          <w:b w:val="0"/>
          <w:bCs w:val="0"/>
        </w:rPr>
      </w:pPr>
      <w:bookmarkStart w:id="165" w:name="_Toc60466312"/>
      <w:r>
        <w:rPr>
          <w:rFonts w:hint="eastAsia" w:ascii="方正楷体_GBK" w:hAnsi="方正楷体_GBK" w:eastAsia="方正楷体_GBK" w:cs="方正楷体_GBK"/>
          <w:b w:val="0"/>
          <w:bCs w:val="0"/>
        </w:rPr>
        <w:t>第一节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保障劳动人口就业创业</w:t>
      </w:r>
      <w:bookmarkEnd w:id="165"/>
    </w:p>
    <w:p w14:paraId="31490B6A">
      <w:pPr>
        <w:spacing w:line="590" w:lineRule="exact"/>
        <w:ind w:firstLine="629"/>
        <w:rPr>
          <w:rFonts w:eastAsia="方正仿宋_GBK"/>
          <w:sz w:val="32"/>
          <w:szCs w:val="32"/>
        </w:rPr>
      </w:pPr>
      <w:r>
        <w:rPr>
          <w:rFonts w:hint="eastAsia" w:eastAsia="方正仿宋_GBK" w:cs="方正仿宋_GBK"/>
          <w:sz w:val="32"/>
          <w:szCs w:val="32"/>
        </w:rPr>
        <w:t>坚持就业优先，发挥民营经济和中小微企业“就业容纳器”作用，培育新的就业增长点。做好创业创新服务保障，加强对灵活就业、新形态就业的政策支持，切实解决劳动者创业过程中融资难、税负重、门槛高等问题。加强就业信息监测平台和就业信息公共服务平台建设，提供公共就业信息服务。建立完善失业动态监测，适时发布预警信息和启动应急预案。到</w:t>
      </w:r>
      <w:r>
        <w:rPr>
          <w:rFonts w:eastAsia="方正仿宋_GBK"/>
          <w:sz w:val="32"/>
          <w:szCs w:val="32"/>
        </w:rPr>
        <w:t>2025</w:t>
      </w:r>
      <w:r>
        <w:rPr>
          <w:rFonts w:hint="eastAsia" w:eastAsia="方正仿宋_GBK" w:cs="方正仿宋_GBK"/>
          <w:sz w:val="32"/>
          <w:szCs w:val="32"/>
        </w:rPr>
        <w:t>年，新增城镇就业</w:t>
      </w:r>
      <w:r>
        <w:rPr>
          <w:rFonts w:eastAsia="方正仿宋_GBK"/>
          <w:sz w:val="32"/>
          <w:szCs w:val="32"/>
        </w:rPr>
        <w:t>14</w:t>
      </w:r>
      <w:r>
        <w:rPr>
          <w:rFonts w:hint="eastAsia" w:eastAsia="方正仿宋_GBK" w:cs="方正仿宋_GBK"/>
          <w:sz w:val="32"/>
          <w:szCs w:val="32"/>
        </w:rPr>
        <w:t>万人，实现再就业</w:t>
      </w:r>
      <w:r>
        <w:rPr>
          <w:rFonts w:eastAsia="方正仿宋_GBK"/>
          <w:sz w:val="32"/>
          <w:szCs w:val="32"/>
        </w:rPr>
        <w:t>6</w:t>
      </w:r>
      <w:r>
        <w:rPr>
          <w:rFonts w:hint="eastAsia" w:eastAsia="方正仿宋_GBK" w:cs="方正仿宋_GBK"/>
          <w:sz w:val="32"/>
          <w:szCs w:val="32"/>
        </w:rPr>
        <w:t>万人。加大创业资金支持，拓宽创业投融资渠道，及时兑现一次性创业补贴、创业岗位开发补贴和创业担保贷款贴息。加强创业孵化基地、创业园区和众创空间等新型创业平台建设，促进产业资源、创业资本、高端人才等创业创新要素和各类服务向创业平台聚集。到</w:t>
      </w:r>
      <w:r>
        <w:rPr>
          <w:rFonts w:eastAsia="方正仿宋_GBK"/>
          <w:sz w:val="32"/>
          <w:szCs w:val="32"/>
        </w:rPr>
        <w:t>2025</w:t>
      </w:r>
      <w:r>
        <w:rPr>
          <w:rFonts w:hint="eastAsia" w:eastAsia="方正仿宋_GBK" w:cs="方正仿宋_GBK"/>
          <w:sz w:val="32"/>
          <w:szCs w:val="32"/>
        </w:rPr>
        <w:t>年，力争累计培育自主创业者</w:t>
      </w:r>
      <w:r>
        <w:rPr>
          <w:rFonts w:eastAsia="方正仿宋_GBK"/>
          <w:sz w:val="32"/>
          <w:szCs w:val="32"/>
        </w:rPr>
        <w:t>2.5</w:t>
      </w:r>
      <w:r>
        <w:rPr>
          <w:rFonts w:hint="eastAsia" w:eastAsia="方正仿宋_GBK" w:cs="方正仿宋_GBK"/>
          <w:sz w:val="32"/>
          <w:szCs w:val="32"/>
        </w:rPr>
        <w:t>万人、创业带动就业</w:t>
      </w:r>
      <w:r>
        <w:rPr>
          <w:rFonts w:eastAsia="方正仿宋_GBK"/>
          <w:sz w:val="32"/>
          <w:szCs w:val="32"/>
        </w:rPr>
        <w:t>14</w:t>
      </w:r>
      <w:r>
        <w:rPr>
          <w:rFonts w:hint="eastAsia" w:eastAsia="方正仿宋_GBK" w:cs="方正仿宋_GBK"/>
          <w:sz w:val="32"/>
          <w:szCs w:val="32"/>
        </w:rPr>
        <w:t>万人。统筹做好重点群体就业。深入实施高校毕业生就业促进和创业引领计划，加强就业指导和就业见习。支持企业吸纳重点群体就业，规范公益岗位开发和管理。对就业困难人员实行实名制动态管理和分类帮扶，确保零就业家庭、最低生活保障家庭等困难家庭至少一人实现就业。到</w:t>
      </w:r>
      <w:r>
        <w:rPr>
          <w:rFonts w:eastAsia="方正仿宋_GBK"/>
          <w:sz w:val="32"/>
          <w:szCs w:val="32"/>
        </w:rPr>
        <w:t>2025</w:t>
      </w:r>
      <w:r>
        <w:rPr>
          <w:rFonts w:hint="eastAsia" w:eastAsia="方正仿宋_GBK" w:cs="方正仿宋_GBK"/>
          <w:sz w:val="32"/>
          <w:szCs w:val="32"/>
        </w:rPr>
        <w:t>年，累计帮扶就业困难人员就业达</w:t>
      </w:r>
      <w:r>
        <w:rPr>
          <w:rFonts w:eastAsia="方正仿宋_GBK"/>
          <w:sz w:val="32"/>
          <w:szCs w:val="32"/>
        </w:rPr>
        <w:t>9500</w:t>
      </w:r>
      <w:r>
        <w:rPr>
          <w:rFonts w:hint="eastAsia" w:eastAsia="方正仿宋_GBK" w:cs="方正仿宋_GBK"/>
          <w:sz w:val="32"/>
          <w:szCs w:val="32"/>
        </w:rPr>
        <w:t>人。</w:t>
      </w:r>
    </w:p>
    <w:p w14:paraId="08584B13">
      <w:pPr>
        <w:pStyle w:val="5"/>
        <w:spacing w:after="200" w:line="520" w:lineRule="exact"/>
        <w:jc w:val="center"/>
        <w:rPr>
          <w:rFonts w:ascii="方正楷体_GBK" w:hAnsi="方正楷体_GBK" w:eastAsia="方正楷体_GBK"/>
          <w:b w:val="0"/>
          <w:bCs w:val="0"/>
        </w:rPr>
      </w:pPr>
      <w:bookmarkStart w:id="166" w:name="_Toc60466313"/>
      <w:r>
        <w:rPr>
          <w:rFonts w:hint="eastAsia" w:ascii="方正楷体_GBK" w:hAnsi="方正楷体_GBK" w:eastAsia="方正楷体_GBK" w:cs="方正楷体_GBK"/>
          <w:b w:val="0"/>
          <w:bCs w:val="0"/>
        </w:rPr>
        <w:t>第二节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提升劳动者就业技能</w:t>
      </w:r>
      <w:bookmarkEnd w:id="166"/>
    </w:p>
    <w:p w14:paraId="431D0E40">
      <w:pPr>
        <w:spacing w:line="590" w:lineRule="exact"/>
        <w:ind w:firstLine="629"/>
        <w:rPr>
          <w:rFonts w:eastAsia="方正仿宋_GBK"/>
          <w:sz w:val="32"/>
          <w:szCs w:val="32"/>
        </w:rPr>
      </w:pPr>
      <w:r>
        <w:rPr>
          <w:rFonts w:hint="eastAsia" w:eastAsia="方正仿宋_GBK" w:cs="方正仿宋_GBK"/>
          <w:sz w:val="32"/>
          <w:szCs w:val="32"/>
        </w:rPr>
        <w:t>强化企业在技能人才培训中的主体地位，完善以就业技能、岗位技能提升和创业为主的培训体系。推行职业技能培训制度，构建覆盖城乡全体劳动者、贯穿劳动者学习工作终身、适应劳动者和市场需求的职业培训制度，促进职业培训与市场就业相适应。完善市场配置资源、劳动者自主选择、政府购买服务和依法监管的职业培训工作机制，全方位提升人力资本质量和劳动者就业创业能力。深化职业技能培训体系建设和职称制度改革，大力培训技术技能人才队伍。对贫困家庭子女、未升学初高中毕业生、农民工、失业人员等实行免费职业培训。到</w:t>
      </w:r>
      <w:r>
        <w:rPr>
          <w:rFonts w:eastAsia="方正仿宋_GBK"/>
          <w:sz w:val="32"/>
          <w:szCs w:val="32"/>
        </w:rPr>
        <w:t>2025</w:t>
      </w:r>
      <w:r>
        <w:rPr>
          <w:rFonts w:hint="eastAsia" w:eastAsia="方正仿宋_GBK" w:cs="方正仿宋_GBK"/>
          <w:sz w:val="32"/>
          <w:szCs w:val="32"/>
        </w:rPr>
        <w:t>年，累计开展各类职业技能培训</w:t>
      </w:r>
      <w:r>
        <w:rPr>
          <w:rFonts w:eastAsia="方正仿宋_GBK"/>
          <w:sz w:val="32"/>
          <w:szCs w:val="32"/>
        </w:rPr>
        <w:t>12</w:t>
      </w:r>
      <w:r>
        <w:rPr>
          <w:rFonts w:hint="eastAsia" w:eastAsia="方正仿宋_GBK" w:cs="方正仿宋_GBK"/>
          <w:sz w:val="32"/>
          <w:szCs w:val="32"/>
        </w:rPr>
        <w:t>万人次，新建博士后工作站</w:t>
      </w:r>
      <w:r>
        <w:rPr>
          <w:rFonts w:eastAsia="方正仿宋_GBK"/>
          <w:sz w:val="32"/>
          <w:szCs w:val="32"/>
        </w:rPr>
        <w:t>8</w:t>
      </w:r>
      <w:r>
        <w:rPr>
          <w:rFonts w:hint="eastAsia" w:eastAsia="方正仿宋_GBK" w:cs="方正仿宋_GBK"/>
          <w:sz w:val="32"/>
          <w:szCs w:val="32"/>
        </w:rPr>
        <w:t>家、新增高技能人才</w:t>
      </w:r>
      <w:r>
        <w:rPr>
          <w:rFonts w:eastAsia="方正仿宋_GBK"/>
          <w:sz w:val="32"/>
          <w:szCs w:val="32"/>
        </w:rPr>
        <w:t>7600</w:t>
      </w:r>
      <w:r>
        <w:rPr>
          <w:rFonts w:hint="eastAsia" w:eastAsia="方正仿宋_GBK" w:cs="方正仿宋_GBK"/>
          <w:sz w:val="32"/>
          <w:szCs w:val="32"/>
        </w:rPr>
        <w:t>人、新增初级职称以上专业技术人才</w:t>
      </w:r>
      <w:r>
        <w:rPr>
          <w:rFonts w:eastAsia="方正仿宋_GBK"/>
          <w:sz w:val="32"/>
          <w:szCs w:val="32"/>
        </w:rPr>
        <w:t>1</w:t>
      </w:r>
      <w:r>
        <w:rPr>
          <w:rFonts w:hint="eastAsia" w:eastAsia="方正仿宋_GBK" w:cs="方正仿宋_GBK"/>
          <w:sz w:val="32"/>
          <w:szCs w:val="32"/>
        </w:rPr>
        <w:t>万人以上。</w:t>
      </w:r>
    </w:p>
    <w:p w14:paraId="4178DF30">
      <w:pPr>
        <w:pStyle w:val="5"/>
        <w:spacing w:after="200" w:line="520" w:lineRule="exact"/>
        <w:jc w:val="center"/>
        <w:rPr>
          <w:rFonts w:ascii="方正楷体_GBK" w:hAnsi="方正楷体_GBK" w:eastAsia="方正楷体_GBK"/>
          <w:b w:val="0"/>
          <w:bCs w:val="0"/>
        </w:rPr>
      </w:pPr>
      <w:bookmarkStart w:id="167" w:name="_Toc60466314"/>
      <w:r>
        <w:rPr>
          <w:rFonts w:hint="eastAsia" w:ascii="方正楷体_GBK" w:hAnsi="方正楷体_GBK" w:eastAsia="方正楷体_GBK" w:cs="方正楷体_GBK"/>
          <w:b w:val="0"/>
          <w:bCs w:val="0"/>
        </w:rPr>
        <w:t>第三节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建设产业工人队伍</w:t>
      </w:r>
      <w:bookmarkEnd w:id="167"/>
    </w:p>
    <w:p w14:paraId="7A6130AE">
      <w:pPr>
        <w:spacing w:line="590" w:lineRule="exact"/>
        <w:ind w:firstLine="629"/>
        <w:rPr>
          <w:rFonts w:eastAsia="方正仿宋_GBK"/>
          <w:sz w:val="32"/>
          <w:szCs w:val="32"/>
        </w:rPr>
      </w:pPr>
      <w:r>
        <w:rPr>
          <w:rFonts w:hint="eastAsia" w:eastAsia="方正仿宋_GBK" w:cs="方正仿宋_GBK"/>
          <w:sz w:val="32"/>
          <w:szCs w:val="32"/>
        </w:rPr>
        <w:t>按照政治上保证、制度上落实、素质上提高、权益上维护的总体思路，加快建设知识型、技能型、创新型产业工人队伍。加强党对产业工人队伍的领导，把握为实现中华民族伟大复兴中国梦而奋斗的工人运动时代主题，积极营造劳动光荣、技能宝贵、创造伟大的浓厚社会氛围，着力提升产业工人素质能力，团结动员产业工人在秦淮高质量发展中建功立业。提高产业工人的经济、政治、文化、社会地位，实现体面劳动、舒心工作、全面发展。积极稳妥推进产业工人队伍建设改革，健全产业工人保障制度，保护产业工人合法权益，造就一支有理想守信念、懂技术会创新、敢担当讲奉献的高素质秦淮产业工人队伍。</w:t>
      </w:r>
    </w:p>
    <w:p w14:paraId="1F50821D">
      <w:pPr>
        <w:pStyle w:val="5"/>
        <w:spacing w:after="200" w:line="520" w:lineRule="exact"/>
        <w:jc w:val="center"/>
        <w:rPr>
          <w:rFonts w:ascii="方正楷体_GBK" w:hAnsi="方正楷体_GBK" w:eastAsia="方正楷体_GBK"/>
          <w:b w:val="0"/>
          <w:bCs w:val="0"/>
        </w:rPr>
      </w:pPr>
      <w:bookmarkStart w:id="168" w:name="_Toc60466315"/>
      <w:r>
        <w:rPr>
          <w:rFonts w:hint="eastAsia" w:ascii="方正楷体_GBK" w:hAnsi="方正楷体_GBK" w:eastAsia="方正楷体_GBK" w:cs="方正楷体_GBK"/>
          <w:b w:val="0"/>
          <w:bCs w:val="0"/>
        </w:rPr>
        <w:t>第四节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优化和谐劳动关系</w:t>
      </w:r>
      <w:bookmarkEnd w:id="168"/>
    </w:p>
    <w:p w14:paraId="35CD8C21">
      <w:pPr>
        <w:spacing w:line="590" w:lineRule="exact"/>
        <w:ind w:firstLine="629"/>
        <w:rPr>
          <w:rFonts w:eastAsia="方正仿宋_GBK"/>
          <w:sz w:val="32"/>
          <w:szCs w:val="32"/>
        </w:rPr>
      </w:pPr>
      <w:r>
        <w:rPr>
          <w:rFonts w:hint="eastAsia" w:eastAsia="方正仿宋_GBK" w:cs="方正仿宋_GBK"/>
          <w:sz w:val="32"/>
          <w:szCs w:val="32"/>
        </w:rPr>
        <w:t>深入推行劳动合同制度，完善劳动用工备案制度，巩固大中型企业劳动合同签订率，提高小微企业和农民工劳动合同签订率，改善劳动合同履行质量。完善劳动人事争议调解制度，加强专业性劳动人事争议调解工作，加大基层调解规范化建设力度，完善劳动人事争议多元处理机制。加强劳动保障监察执法能力建设，落实随机抽取检查对象、随机选派执法检查人员的“双随机”监督检查制度。完善劳动保障监察执法程序，全面落实执法责任制，健全劳动保障监察执法长效机制。提升劳动者健康素质，全面开展职业健康服务，落实职业健康检查制度，加强职业病防治，强化职业劳动安全教育。</w:t>
      </w:r>
    </w:p>
    <w:p w14:paraId="3D89FC30">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169" w:name="_Toc60466316"/>
      <w:r>
        <w:rPr>
          <w:rFonts w:hint="eastAsia" w:ascii="方正黑体_GBK" w:hAnsi="方正黑体_GBK" w:eastAsia="方正黑体_GBK" w:cs="方正黑体_GBK"/>
          <w:b w:val="0"/>
          <w:bCs w:val="0"/>
        </w:rPr>
        <w:t>第二十七章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健全多层次社会保障体系</w:t>
      </w:r>
      <w:bookmarkEnd w:id="169"/>
    </w:p>
    <w:p w14:paraId="2313E48D">
      <w:pPr>
        <w:pStyle w:val="5"/>
        <w:spacing w:after="200" w:line="520" w:lineRule="exact"/>
        <w:jc w:val="center"/>
        <w:rPr>
          <w:rFonts w:ascii="方正楷体_GBK" w:hAnsi="方正楷体_GBK" w:eastAsia="方正楷体_GBK"/>
          <w:b w:val="0"/>
          <w:bCs w:val="0"/>
        </w:rPr>
      </w:pPr>
      <w:bookmarkStart w:id="170" w:name="_Toc60466317"/>
      <w:r>
        <w:rPr>
          <w:rFonts w:hint="eastAsia" w:ascii="方正楷体_GBK" w:hAnsi="方正楷体_GBK" w:eastAsia="方正楷体_GBK" w:cs="方正楷体_GBK"/>
          <w:b w:val="0"/>
          <w:bCs w:val="0"/>
        </w:rPr>
        <w:t>第一节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落实全民参保计划</w:t>
      </w:r>
      <w:bookmarkEnd w:id="170"/>
    </w:p>
    <w:p w14:paraId="5E37E42C">
      <w:pPr>
        <w:spacing w:line="590" w:lineRule="exact"/>
        <w:ind w:firstLine="629"/>
        <w:rPr>
          <w:rFonts w:eastAsia="方正仿宋_GBK"/>
          <w:sz w:val="32"/>
          <w:szCs w:val="32"/>
        </w:rPr>
      </w:pPr>
      <w:r>
        <w:rPr>
          <w:rFonts w:hint="eastAsia" w:eastAsia="方正仿宋_GBK" w:cs="方正仿宋_GBK"/>
          <w:sz w:val="32"/>
          <w:szCs w:val="32"/>
        </w:rPr>
        <w:t>实现社会保障精准扩面，推进企业职工应保尽保和灵活就业人员等各类重点群体参保全覆盖。细化社会保险经办服务，落实社保转移接续、基本养老保险全国统筹，基本医疗保险、失业保险、工伤保险省级统筹。完善重大疾病医疗保险和救助制度，落实异地就医结算。依托金保二期工程信息系统，落实企业社会保险费缴纳政策。到</w:t>
      </w:r>
      <w:r>
        <w:rPr>
          <w:rFonts w:eastAsia="方正仿宋_GBK"/>
          <w:sz w:val="32"/>
          <w:szCs w:val="32"/>
        </w:rPr>
        <w:t>2025</w:t>
      </w:r>
      <w:r>
        <w:rPr>
          <w:rFonts w:hint="eastAsia" w:eastAsia="方正仿宋_GBK" w:cs="方正仿宋_GBK"/>
          <w:sz w:val="32"/>
          <w:szCs w:val="32"/>
        </w:rPr>
        <w:t>年，城乡基本社会保险参保缴费率超</w:t>
      </w:r>
      <w:r>
        <w:rPr>
          <w:rFonts w:eastAsia="方正仿宋_GBK"/>
          <w:sz w:val="32"/>
          <w:szCs w:val="32"/>
        </w:rPr>
        <w:t>90%</w:t>
      </w:r>
      <w:r>
        <w:rPr>
          <w:rFonts w:hint="eastAsia" w:eastAsia="方正仿宋_GBK" w:cs="方正仿宋_GBK"/>
          <w:sz w:val="32"/>
          <w:szCs w:val="32"/>
        </w:rPr>
        <w:t>。</w:t>
      </w:r>
    </w:p>
    <w:p w14:paraId="0442295C">
      <w:pPr>
        <w:pStyle w:val="5"/>
        <w:spacing w:after="200" w:line="520" w:lineRule="exact"/>
        <w:jc w:val="center"/>
        <w:rPr>
          <w:rFonts w:ascii="方正楷体_GBK" w:hAnsi="方正楷体_GBK" w:eastAsia="方正楷体_GBK"/>
          <w:b w:val="0"/>
          <w:bCs w:val="0"/>
        </w:rPr>
      </w:pPr>
      <w:bookmarkStart w:id="171" w:name="_Toc60466318"/>
      <w:r>
        <w:rPr>
          <w:rFonts w:hint="eastAsia" w:ascii="方正楷体_GBK" w:hAnsi="方正楷体_GBK" w:eastAsia="方正楷体_GBK" w:cs="方正楷体_GBK"/>
          <w:b w:val="0"/>
          <w:bCs w:val="0"/>
        </w:rPr>
        <w:t>第二节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健全完善救助体系</w:t>
      </w:r>
      <w:bookmarkEnd w:id="171"/>
    </w:p>
    <w:p w14:paraId="17455643">
      <w:pPr>
        <w:spacing w:line="590" w:lineRule="exact"/>
        <w:ind w:firstLine="629"/>
        <w:rPr>
          <w:rFonts w:eastAsia="方正仿宋_GBK"/>
          <w:sz w:val="32"/>
          <w:szCs w:val="32"/>
        </w:rPr>
      </w:pPr>
      <w:r>
        <w:rPr>
          <w:rFonts w:hint="eastAsia" w:eastAsia="方正仿宋_GBK" w:cs="方正仿宋_GBK"/>
          <w:sz w:val="32"/>
          <w:szCs w:val="32"/>
        </w:rPr>
        <w:t>增强社会救助能力，提升社会救助水平。打造全区统一的社会救助信息平台，实行清单管理，完善社会救助家庭情况核查机制，实现救助信息互通、救助政策统筹、救助服务精准。加大社会救助信息公开力度，加快建立社会救助风险监测预警机制，建立被救助人群诚信体系。积极培育社会救助领域的社会工作服务机构和专业社会工作人才，加大政府购买服务力度，形成分层分类的救助制度体系，完善社会救助服务多元供给格局。以社区、社会团体为依托，广泛发动社会各方面的力量，建立社区服务志愿者活动组织，开展多层次、多形式的互助互济活动。</w:t>
      </w:r>
    </w:p>
    <w:p w14:paraId="6D8259E8">
      <w:pPr>
        <w:pStyle w:val="5"/>
        <w:spacing w:after="200" w:line="520" w:lineRule="exact"/>
        <w:jc w:val="center"/>
        <w:rPr>
          <w:rFonts w:ascii="方正楷体_GBK" w:hAnsi="方正楷体_GBK" w:eastAsia="方正楷体_GBK"/>
          <w:b w:val="0"/>
          <w:bCs w:val="0"/>
        </w:rPr>
      </w:pPr>
      <w:bookmarkStart w:id="172" w:name="_Toc60466319"/>
      <w:r>
        <w:rPr>
          <w:rFonts w:hint="eastAsia" w:ascii="方正楷体_GBK" w:hAnsi="方正楷体_GBK" w:eastAsia="方正楷体_GBK" w:cs="方正楷体_GBK"/>
          <w:b w:val="0"/>
          <w:bCs w:val="0"/>
        </w:rPr>
        <w:t>第三节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完善住房保障体系</w:t>
      </w:r>
      <w:bookmarkEnd w:id="172"/>
    </w:p>
    <w:p w14:paraId="6F646984">
      <w:pPr>
        <w:spacing w:line="590" w:lineRule="exact"/>
        <w:ind w:firstLine="629"/>
        <w:rPr>
          <w:rFonts w:eastAsia="方正仿宋_GBK"/>
          <w:sz w:val="32"/>
          <w:szCs w:val="32"/>
        </w:rPr>
      </w:pPr>
      <w:r>
        <w:rPr>
          <w:rFonts w:hint="eastAsia" w:eastAsia="方正仿宋_GBK" w:cs="方正仿宋_GBK"/>
          <w:sz w:val="32"/>
          <w:szCs w:val="32"/>
        </w:rPr>
        <w:t>分类指导、统筹推进，全面完成棚户区改造任务，有效改善非成套住房条件，完善住房保障体系。建立危旧房信息管理系统，开展分类治理。加快保障性住房建设，观门口、杨庄北、中牌楼项目实现竣工。推进人才住房建设，采取租赁住房、企业自筹等多种形式筹集人才住房。探索面向百姓居民的城市有机更新模式，运用翻复建、留改拆、消险改造、征收安置等多种形式，提升居民感知度和满意度。推广小西湖渐进更新模式，推进石榴新村片区试点项目建设，加快推进大阳沟、御河新村、毛家苑片区等项目建设，因地制宜地提升群众生活品质。</w:t>
      </w:r>
    </w:p>
    <w:p w14:paraId="427F30E7">
      <w:pPr>
        <w:pStyle w:val="5"/>
        <w:spacing w:after="200" w:line="520" w:lineRule="exact"/>
        <w:jc w:val="center"/>
        <w:rPr>
          <w:rFonts w:ascii="方正楷体_GBK" w:hAnsi="方正楷体_GBK" w:eastAsia="方正楷体_GBK"/>
          <w:b w:val="0"/>
          <w:bCs w:val="0"/>
        </w:rPr>
      </w:pPr>
      <w:bookmarkStart w:id="173" w:name="_Toc60466320"/>
      <w:r>
        <w:rPr>
          <w:rFonts w:hint="eastAsia" w:ascii="方正楷体_GBK" w:hAnsi="方正楷体_GBK" w:eastAsia="方正楷体_GBK" w:cs="方正楷体_GBK"/>
          <w:b w:val="0"/>
          <w:bCs w:val="0"/>
        </w:rPr>
        <w:t>第四节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加强残疾人帮扶保障</w:t>
      </w:r>
      <w:bookmarkEnd w:id="173"/>
    </w:p>
    <w:p w14:paraId="46FEBB4B">
      <w:pPr>
        <w:spacing w:line="590" w:lineRule="exact"/>
        <w:ind w:firstLine="629"/>
        <w:rPr>
          <w:rFonts w:eastAsia="方正仿宋_GBK"/>
          <w:sz w:val="32"/>
          <w:szCs w:val="32"/>
        </w:rPr>
      </w:pPr>
      <w:r>
        <w:rPr>
          <w:rFonts w:hint="eastAsia" w:eastAsia="方正仿宋_GBK" w:cs="方正仿宋_GBK"/>
          <w:sz w:val="32"/>
          <w:szCs w:val="32"/>
        </w:rPr>
        <w:t>完善残疾人社会保障和服务体系，实现残疾人社会保险全覆盖。改善残疾人生存和发展状况，保障基本生活和劳动就业权益。有效提高残疾人受教育水平，丰富文化体育生活，改善无障碍环境，提高科学文化素质和法律意识。规范残疾人康复服务体系，社会帮扶助残氛围更加浓厚。</w:t>
      </w:r>
    </w:p>
    <w:p w14:paraId="788926FC">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174" w:name="_Toc60466321"/>
      <w:r>
        <w:rPr>
          <w:rFonts w:hint="eastAsia" w:ascii="方正黑体_GBK" w:hAnsi="方正黑体_GBK" w:eastAsia="方正黑体_GBK" w:cs="方正黑体_GBK"/>
          <w:b w:val="0"/>
          <w:bCs w:val="0"/>
        </w:rPr>
        <w:t>第二十八章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促进妇女儿童青少年发展</w:t>
      </w:r>
      <w:bookmarkEnd w:id="174"/>
    </w:p>
    <w:p w14:paraId="0B054CE1">
      <w:pPr>
        <w:pStyle w:val="5"/>
        <w:spacing w:after="200" w:line="520" w:lineRule="exact"/>
        <w:jc w:val="center"/>
        <w:rPr>
          <w:rFonts w:ascii="方正楷体_GBK" w:hAnsi="方正楷体_GBK" w:eastAsia="方正楷体_GBK"/>
          <w:b w:val="0"/>
          <w:bCs w:val="0"/>
        </w:rPr>
      </w:pPr>
      <w:bookmarkStart w:id="175" w:name="_Toc60466322"/>
      <w:r>
        <w:rPr>
          <w:rFonts w:hint="eastAsia" w:ascii="方正楷体_GBK" w:hAnsi="方正楷体_GBK" w:eastAsia="方正楷体_GBK" w:cs="方正楷体_GBK"/>
          <w:b w:val="0"/>
          <w:bCs w:val="0"/>
        </w:rPr>
        <w:t>第一节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提升妇女发展环境</w:t>
      </w:r>
      <w:bookmarkEnd w:id="175"/>
    </w:p>
    <w:p w14:paraId="1081341F">
      <w:pPr>
        <w:spacing w:line="590" w:lineRule="exact"/>
        <w:ind w:firstLine="629"/>
        <w:rPr>
          <w:rFonts w:eastAsia="方正仿宋_GBK"/>
          <w:sz w:val="32"/>
          <w:szCs w:val="32"/>
        </w:rPr>
      </w:pPr>
      <w:r>
        <w:rPr>
          <w:rFonts w:hint="eastAsia" w:eastAsia="方正仿宋_GBK" w:cs="方正仿宋_GBK"/>
          <w:sz w:val="32"/>
          <w:szCs w:val="32"/>
        </w:rPr>
        <w:t>落实促进男女平等的法规政策，构建文明先进的性别文化，营造良好的社会环境，促进两性和谐发展。促进妇女在家庭建设中的作用发挥，完善支持家庭发展的政策和服务体系。完善计划生育奖励假制度和配偶陪产假制度。建立家事案件婚姻危机干预联动机制，保障婚姻家事妇女儿童人身权益。拓展女性参与社会治理路径，提升妇女经济参与度和贡献度。提高妇幼健康服务能力，提高孕龄妇女婚孕检率，规范孕妇健康管理，进一步降低出生缺陷发病率和剖宫产率，控制孕产妇死亡率，提高出生人口素质。实施妇幼重大公共卫生服务项目，强化出生缺陷综合防治和残疾儿童康复，提升妇女儿童健康保障水平。继续做好以宫颈癌和乳腺癌筛等常见妇女病防治工作，不断扩展筛查人群范围。</w:t>
      </w:r>
    </w:p>
    <w:p w14:paraId="49AFF996">
      <w:pPr>
        <w:pStyle w:val="5"/>
        <w:spacing w:after="200" w:line="520" w:lineRule="exact"/>
        <w:jc w:val="center"/>
        <w:rPr>
          <w:rFonts w:ascii="方正楷体_GBK" w:hAnsi="方正楷体_GBK" w:eastAsia="方正楷体_GBK"/>
          <w:b w:val="0"/>
          <w:bCs w:val="0"/>
        </w:rPr>
      </w:pPr>
      <w:bookmarkStart w:id="176" w:name="_Toc60466323"/>
      <w:r>
        <w:rPr>
          <w:rFonts w:hint="eastAsia" w:ascii="方正楷体_GBK" w:hAnsi="方正楷体_GBK" w:eastAsia="方正楷体_GBK" w:cs="方正楷体_GBK"/>
          <w:b w:val="0"/>
          <w:bCs w:val="0"/>
        </w:rPr>
        <w:t>第二节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拓展儿童发展空间</w:t>
      </w:r>
      <w:bookmarkEnd w:id="176"/>
    </w:p>
    <w:p w14:paraId="33AD03E2">
      <w:pPr>
        <w:spacing w:line="590" w:lineRule="exact"/>
        <w:ind w:firstLine="629"/>
        <w:rPr>
          <w:rFonts w:eastAsia="方正仿宋_GBK"/>
          <w:sz w:val="32"/>
          <w:szCs w:val="32"/>
        </w:rPr>
      </w:pPr>
      <w:r>
        <w:rPr>
          <w:rFonts w:hint="eastAsia" w:eastAsia="方正仿宋_GBK" w:cs="方正仿宋_GBK"/>
          <w:sz w:val="32"/>
          <w:szCs w:val="32"/>
        </w:rPr>
        <w:t>践行儿童友好城市理念，从政策友好、服务友好、人文友好、环境友好等方面推进儿童友好城市建设。实施</w:t>
      </w:r>
      <w:r>
        <w:rPr>
          <w:rFonts w:eastAsia="方正仿宋_GBK"/>
          <w:sz w:val="32"/>
          <w:szCs w:val="32"/>
        </w:rPr>
        <w:t>0-3</w:t>
      </w:r>
      <w:r>
        <w:rPr>
          <w:rFonts w:hint="eastAsia" w:eastAsia="方正仿宋_GBK" w:cs="方正仿宋_GBK"/>
          <w:sz w:val="32"/>
          <w:szCs w:val="32"/>
        </w:rPr>
        <w:t>岁普惠托育服务能力提升工程，推进普惠托育服务机构设施建设。推动学前教育普及普惠优质发展，继续提升幼儿在公办和普惠性民办幼儿园就学比例，为符合条件的普惠性幼儿园在园儿童提供学前教育资助。通过医疗康复、无障碍改造、师资培训和学前教育资助制度等措施，帮助具有普通学前教育能力的残疾儿童在普通幼儿园接受普惠性学前教育，加大对区残障儿童少年随班就读指导中心建设。引导和鼓励社会力量举办非营利性妇女儿童医院。加强儿童健康干预和儿科诊疗能力建设，为</w:t>
      </w:r>
      <w:r>
        <w:rPr>
          <w:rFonts w:eastAsia="方正仿宋_GBK"/>
          <w:sz w:val="32"/>
          <w:szCs w:val="32"/>
        </w:rPr>
        <w:t>0-6</w:t>
      </w:r>
      <w:r>
        <w:rPr>
          <w:rFonts w:hint="eastAsia" w:eastAsia="方正仿宋_GBK" w:cs="方正仿宋_GBK"/>
          <w:sz w:val="32"/>
          <w:szCs w:val="32"/>
        </w:rPr>
        <w:t>岁儿童提供健康管理和预防接种。在大型公共场所、公共交通工具、旅游景区景点等设置母婴室或婴儿护理台，保障母婴权益。完善未成年人保护和儿童福利体系，加大困境儿童保障。</w:t>
      </w:r>
    </w:p>
    <w:p w14:paraId="17C10DFF">
      <w:pPr>
        <w:pStyle w:val="5"/>
        <w:spacing w:after="200" w:line="520" w:lineRule="exact"/>
        <w:jc w:val="center"/>
        <w:rPr>
          <w:rFonts w:ascii="方正楷体_GBK" w:hAnsi="方正楷体_GBK" w:eastAsia="方正楷体_GBK"/>
          <w:b w:val="0"/>
          <w:bCs w:val="0"/>
        </w:rPr>
      </w:pPr>
      <w:bookmarkStart w:id="177" w:name="_Toc60466324"/>
      <w:r>
        <w:rPr>
          <w:rFonts w:hint="eastAsia" w:ascii="方正楷体_GBK" w:hAnsi="方正楷体_GBK" w:eastAsia="方正楷体_GBK" w:cs="方正楷体_GBK"/>
          <w:b w:val="0"/>
          <w:bCs w:val="0"/>
        </w:rPr>
        <w:t>第三节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优化青年发展服务</w:t>
      </w:r>
      <w:bookmarkEnd w:id="177"/>
    </w:p>
    <w:p w14:paraId="40E4EB47">
      <w:pPr>
        <w:spacing w:line="590" w:lineRule="exact"/>
        <w:ind w:firstLine="629"/>
        <w:rPr>
          <w:rFonts w:eastAsia="方正仿宋_GBK"/>
          <w:sz w:val="32"/>
          <w:szCs w:val="32"/>
        </w:rPr>
      </w:pPr>
      <w:r>
        <w:rPr>
          <w:rFonts w:hint="eastAsia" w:eastAsia="方正仿宋_GBK" w:cs="方正仿宋_GBK"/>
          <w:sz w:val="32"/>
          <w:szCs w:val="32"/>
        </w:rPr>
        <w:t>聚焦青年群体发展，加强青年理想信念教育，开展“青年大学习”行动，建立“青年学习社”等交流平台。完善青年先进典型常态化选树机制。统筹发挥青年志愿服务队伍作用，鼓励青年开展学雷锋、敬老、助残、大型活动赛事保障、“青春闪亮”系列等多重形式志愿服务实践活动。深入开展网络素养教育，引导青年安全用网、阳光用网和理性上网。组织大中专学生参与暑期文化科技卫生社会实践活动、志愿服务，持续开展大学生“进机关进园区进企业进社区”岗位实习计划。加强青年就业服务，完善青年创业服务体系，推动青年投身创新创业实践。到</w:t>
      </w:r>
      <w:r>
        <w:rPr>
          <w:rFonts w:eastAsia="方正仿宋_GBK"/>
          <w:sz w:val="32"/>
          <w:szCs w:val="32"/>
        </w:rPr>
        <w:t xml:space="preserve"> 2025 </w:t>
      </w:r>
      <w:r>
        <w:rPr>
          <w:rFonts w:hint="eastAsia" w:eastAsia="方正仿宋_GBK" w:cs="方正仿宋_GBK"/>
          <w:sz w:val="32"/>
          <w:szCs w:val="32"/>
        </w:rPr>
        <w:t>年，富有秦淮特色的青年发展政策和工作机制更加完善，青年友好型社会环境不断优化，青年思想政治素养和全面发展水平显著提升，青年在“强富美高”新秦淮的建设中的参与度、贡献度明显提高，成为担当民族复兴大任的时代新人。</w:t>
      </w:r>
      <w:r>
        <w:rPr>
          <w:rFonts w:eastAsia="方正仿宋_GBK"/>
          <w:sz w:val="32"/>
          <w:szCs w:val="32"/>
        </w:rPr>
        <w:t xml:space="preserve"> </w:t>
      </w:r>
    </w:p>
    <w:p w14:paraId="1D891E27">
      <w:pPr>
        <w:spacing w:line="520" w:lineRule="exact"/>
        <w:ind w:firstLine="640" w:firstLineChars="200"/>
        <w:rPr>
          <w:rFonts w:eastAsia="仿宋"/>
          <w:sz w:val="32"/>
          <w:szCs w:val="32"/>
        </w:rPr>
      </w:pPr>
    </w:p>
    <w:p w14:paraId="6A767E9D">
      <w:pPr>
        <w:pStyle w:val="2"/>
      </w:pPr>
    </w:p>
    <w:p w14:paraId="1EC0720C">
      <w:pPr>
        <w:pStyle w:val="3"/>
        <w:keepNext w:val="0"/>
        <w:keepLines w:val="0"/>
        <w:spacing w:before="0" w:after="0" w:line="700" w:lineRule="exact"/>
        <w:jc w:val="center"/>
        <w:rPr>
          <w:rFonts w:ascii="方正小标宋_GBK" w:eastAsia="方正小标宋_GBK"/>
          <w:b w:val="0"/>
          <w:bCs w:val="0"/>
        </w:rPr>
      </w:pPr>
      <w:bookmarkStart w:id="178" w:name="_Toc60466325"/>
      <w:r>
        <w:rPr>
          <w:rFonts w:hint="eastAsia" w:ascii="方正小标宋_GBK" w:eastAsia="方正小标宋_GBK" w:cs="方正小标宋_GBK"/>
          <w:b w:val="0"/>
          <w:bCs w:val="0"/>
        </w:rPr>
        <w:t>第八篇</w:t>
      </w:r>
      <w:r>
        <w:rPr>
          <w:rFonts w:ascii="方正小标宋_GBK" w:eastAsia="方正小标宋_GBK" w:cs="方正小标宋_GBK"/>
          <w:b w:val="0"/>
          <w:bCs w:val="0"/>
        </w:rPr>
        <w:t xml:space="preserve"> </w:t>
      </w:r>
      <w:r>
        <w:rPr>
          <w:rFonts w:hint="eastAsia" w:ascii="方正小标宋_GBK" w:eastAsia="方正小标宋_GBK" w:cs="方正小标宋_GBK"/>
          <w:b w:val="0"/>
          <w:bCs w:val="0"/>
        </w:rPr>
        <w:t>坚持创新改革开放，畅通内外双循环，贡献秦淮力量服务新发展格局</w:t>
      </w:r>
      <w:bookmarkEnd w:id="178"/>
    </w:p>
    <w:p w14:paraId="1173F62D">
      <w:pPr>
        <w:spacing w:line="520" w:lineRule="exact"/>
        <w:ind w:firstLine="640" w:firstLineChars="200"/>
        <w:rPr>
          <w:rFonts w:eastAsia="方正仿宋_GBK"/>
          <w:sz w:val="32"/>
          <w:szCs w:val="32"/>
        </w:rPr>
      </w:pPr>
    </w:p>
    <w:p w14:paraId="66781E91">
      <w:pPr>
        <w:spacing w:line="590" w:lineRule="exact"/>
        <w:ind w:firstLine="629"/>
        <w:rPr>
          <w:rFonts w:eastAsia="方正仿宋_GBK"/>
          <w:sz w:val="32"/>
          <w:szCs w:val="32"/>
        </w:rPr>
      </w:pPr>
      <w:r>
        <w:rPr>
          <w:rFonts w:hint="eastAsia" w:eastAsia="方正仿宋_GBK" w:cs="方正仿宋_GBK"/>
          <w:sz w:val="32"/>
          <w:szCs w:val="32"/>
        </w:rPr>
        <w:t>以推动形成国内大循环为主体、国内国际双循环相互促进的新发展格局为引领，立足资源优势，全面深化改革，用好国内市场，扩大有效开放，在提高资源配置效率、提高发展质量、调动各方面积极性等方面取得更大突破，在更面向未来的改革创新中探索发展先机，在更大的空间格局中寻求合作共赢。</w:t>
      </w:r>
    </w:p>
    <w:p w14:paraId="54AEE94E">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179" w:name="_Toc60466326"/>
      <w:r>
        <w:rPr>
          <w:rFonts w:hint="eastAsia" w:ascii="方正黑体_GBK" w:hAnsi="方正黑体_GBK" w:eastAsia="方正黑体_GBK" w:cs="方正黑体_GBK"/>
          <w:b w:val="0"/>
          <w:bCs w:val="0"/>
        </w:rPr>
        <w:t>第二十九章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深化重点领域改革</w:t>
      </w:r>
      <w:bookmarkEnd w:id="179"/>
    </w:p>
    <w:p w14:paraId="2F9276D5">
      <w:pPr>
        <w:pStyle w:val="5"/>
        <w:spacing w:after="200" w:line="520" w:lineRule="exact"/>
        <w:jc w:val="center"/>
        <w:rPr>
          <w:rFonts w:ascii="方正楷体_GBK" w:hAnsi="方正楷体_GBK" w:eastAsia="方正楷体_GBK"/>
          <w:b w:val="0"/>
          <w:bCs w:val="0"/>
        </w:rPr>
      </w:pPr>
      <w:bookmarkStart w:id="180" w:name="_Toc60466327"/>
      <w:r>
        <w:rPr>
          <w:rFonts w:hint="eastAsia" w:ascii="方正楷体_GBK" w:hAnsi="方正楷体_GBK" w:eastAsia="方正楷体_GBK" w:cs="方正楷体_GBK"/>
          <w:b w:val="0"/>
          <w:bCs w:val="0"/>
        </w:rPr>
        <w:t>第一节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实施经济一体化治理改革</w:t>
      </w:r>
      <w:bookmarkEnd w:id="180"/>
    </w:p>
    <w:p w14:paraId="71D53137">
      <w:pPr>
        <w:spacing w:line="590" w:lineRule="exact"/>
        <w:ind w:firstLine="629"/>
        <w:rPr>
          <w:rFonts w:eastAsia="方正仿宋_GBK"/>
          <w:sz w:val="32"/>
          <w:szCs w:val="32"/>
        </w:rPr>
      </w:pPr>
      <w:r>
        <w:rPr>
          <w:rFonts w:hint="eastAsia" w:eastAsia="方正仿宋_GBK" w:cs="方正仿宋_GBK"/>
          <w:sz w:val="32"/>
          <w:szCs w:val="32"/>
        </w:rPr>
        <w:t>加快推进全区经济治理一体化改革，完善体制机制、夯实基层基础、优化经济生态、加强队伍建设，构建一体化、生态化、智慧化的经济管理运行体系，建设一张网，打造两个平台，完善三项机制，开展四项行动，构建五位一体工作格局，为全区经济快速发展提供有力支撑。建设“纵到底、横到边、全覆盖”的经济网格，形成“网格神经末梢</w:t>
      </w:r>
      <w:r>
        <w:rPr>
          <w:rFonts w:eastAsia="方正仿宋_GBK"/>
          <w:sz w:val="32"/>
          <w:szCs w:val="32"/>
        </w:rPr>
        <w:t>—</w:t>
      </w:r>
      <w:r>
        <w:rPr>
          <w:rFonts w:hint="eastAsia" w:eastAsia="方正仿宋_GBK" w:cs="方正仿宋_GBK"/>
          <w:sz w:val="32"/>
          <w:szCs w:val="32"/>
        </w:rPr>
        <w:t>街道处理终端</w:t>
      </w:r>
      <w:r>
        <w:rPr>
          <w:rFonts w:eastAsia="方正仿宋_GBK"/>
          <w:sz w:val="32"/>
          <w:szCs w:val="32"/>
        </w:rPr>
        <w:t>—</w:t>
      </w:r>
      <w:r>
        <w:rPr>
          <w:rFonts w:hint="eastAsia" w:eastAsia="方正仿宋_GBK" w:cs="方正仿宋_GBK"/>
          <w:sz w:val="32"/>
          <w:szCs w:val="32"/>
        </w:rPr>
        <w:t>区级统筹大脑”快速智能响应，“市场主体</w:t>
      </w:r>
      <w:r>
        <w:rPr>
          <w:rFonts w:eastAsia="方正仿宋_GBK"/>
          <w:sz w:val="32"/>
          <w:szCs w:val="32"/>
        </w:rPr>
        <w:t>—</w:t>
      </w:r>
      <w:r>
        <w:rPr>
          <w:rFonts w:hint="eastAsia" w:eastAsia="方正仿宋_GBK" w:cs="方正仿宋_GBK"/>
          <w:sz w:val="32"/>
          <w:szCs w:val="32"/>
        </w:rPr>
        <w:t>发展要素</w:t>
      </w:r>
      <w:r>
        <w:rPr>
          <w:rFonts w:eastAsia="方正仿宋_GBK"/>
          <w:sz w:val="32"/>
          <w:szCs w:val="32"/>
        </w:rPr>
        <w:t>—</w:t>
      </w:r>
      <w:r>
        <w:rPr>
          <w:rFonts w:hint="eastAsia" w:eastAsia="方正仿宋_GBK" w:cs="方正仿宋_GBK"/>
          <w:sz w:val="32"/>
          <w:szCs w:val="32"/>
        </w:rPr>
        <w:t>服务保障”聚力联动的经济组织服务网格化管理体系。落实“工作清单化”，实施“事项工单化”，形成“管理逐级下沉、沟通不出网格、服务就在身边”的经济网格治理体系。依托区数据中心，打造“一体四库两平台”的经济工作智慧化系统，实现服务与管理互联互通互促。建立“企业、项目、载体、政策”四个数据库，依托数据库基本数据信息，打造经济管理和企业服务两个平台，形成内部管理和外部服务功能相互促进、支持的智能化经济统筹体系。构建五位一体工作格局，加强区级、部门、板块、街道、国企的协调联动，各成员单位明确专人专岗负责，形成各负其责、激发合力的经济工作一体化新格局。</w:t>
      </w:r>
    </w:p>
    <w:p w14:paraId="24EC33F8">
      <w:pPr>
        <w:pStyle w:val="5"/>
        <w:spacing w:after="200" w:line="520" w:lineRule="exact"/>
        <w:jc w:val="center"/>
        <w:rPr>
          <w:rFonts w:ascii="方正楷体_GBK" w:hAnsi="方正楷体_GBK" w:eastAsia="方正楷体_GBK"/>
          <w:b w:val="0"/>
          <w:bCs w:val="0"/>
        </w:rPr>
      </w:pPr>
      <w:bookmarkStart w:id="181" w:name="_Toc60466328"/>
      <w:r>
        <w:rPr>
          <w:rFonts w:hint="eastAsia" w:ascii="方正楷体_GBK" w:hAnsi="方正楷体_GBK" w:eastAsia="方正楷体_GBK" w:cs="方正楷体_GBK"/>
          <w:b w:val="0"/>
          <w:bCs w:val="0"/>
        </w:rPr>
        <w:t>第二节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深化基层社会治理改革</w:t>
      </w:r>
      <w:bookmarkEnd w:id="181"/>
    </w:p>
    <w:p w14:paraId="31C09BE4">
      <w:pPr>
        <w:spacing w:line="590" w:lineRule="exact"/>
        <w:ind w:firstLine="629"/>
        <w:rPr>
          <w:rFonts w:eastAsia="方正仿宋_GBK"/>
          <w:sz w:val="32"/>
          <w:szCs w:val="32"/>
        </w:rPr>
      </w:pPr>
      <w:r>
        <w:rPr>
          <w:rFonts w:hint="eastAsia" w:eastAsia="方正仿宋_GBK" w:cs="方正仿宋_GBK"/>
          <w:sz w:val="32"/>
          <w:szCs w:val="32"/>
        </w:rPr>
        <w:t>在“两赋两强”、“双做双增”秦淮基层社会治理实践基础上，继续深化“大数据</w:t>
      </w:r>
      <w:r>
        <w:rPr>
          <w:rFonts w:eastAsia="方正仿宋_GBK"/>
          <w:sz w:val="32"/>
          <w:szCs w:val="32"/>
        </w:rPr>
        <w:t>+</w:t>
      </w:r>
      <w:r>
        <w:rPr>
          <w:rFonts w:hint="eastAsia" w:eastAsia="方正仿宋_GBK" w:cs="方正仿宋_GBK"/>
          <w:sz w:val="32"/>
          <w:szCs w:val="32"/>
        </w:rPr>
        <w:t>网格化</w:t>
      </w:r>
      <w:r>
        <w:rPr>
          <w:rFonts w:eastAsia="方正仿宋_GBK"/>
          <w:sz w:val="32"/>
          <w:szCs w:val="32"/>
        </w:rPr>
        <w:t>+</w:t>
      </w:r>
      <w:r>
        <w:rPr>
          <w:rFonts w:hint="eastAsia" w:eastAsia="方正仿宋_GBK" w:cs="方正仿宋_GBK"/>
          <w:sz w:val="32"/>
          <w:szCs w:val="32"/>
        </w:rPr>
        <w:t>铁脚板”基层社会治理模式的秦淮实践，进一步提升社会治理现代化水平。推进部门数据共享，提升全区社会治理概貌感知、信息归集、研判预警、全域调度、监督考核能力。建设区级社会治理数据共享交换平台和数据运营管理机构，积极探索区块链技术在社会治理方面的前景应用。建设全要素网格信息采集应用，做到数据一次采集、按需共享，加强网格员和部门数据保障能力。加大新一代“雪亮工程”监控智能化升级、智能道闸建设，结合小区出新加快智慧物业平台建设，物业平台接入综合指挥平台；加大移动消防、防汛传感、环境监控、智慧工地、</w:t>
      </w:r>
      <w:r>
        <w:rPr>
          <w:rFonts w:hint="eastAsia" w:eastAsia="方正仿宋_GBK" w:cs="方正仿宋_GBK"/>
          <w:sz w:val="32"/>
          <w:szCs w:val="32"/>
          <w:lang w:val="en-US" w:eastAsia="zh-CN"/>
        </w:rPr>
        <w:t>明厨亮灶</w:t>
      </w:r>
      <w:r>
        <w:rPr>
          <w:rFonts w:hint="eastAsia" w:eastAsia="方正仿宋_GBK" w:cs="方正仿宋_GBK"/>
          <w:sz w:val="32"/>
          <w:szCs w:val="32"/>
        </w:rPr>
        <w:t>等平台建设，统一纳入区综合指挥平台运行。建强网格化治理工作平台。实体化运行区社会治理综合指挥中心，完善区中心与公安、应急、消防等重点部门联动体制，完成各街道指挥中心实体化运行，建立应急处置队伍，逐步实现</w:t>
      </w:r>
      <w:r>
        <w:rPr>
          <w:rFonts w:eastAsia="方正仿宋_GBK"/>
          <w:sz w:val="32"/>
          <w:szCs w:val="32"/>
        </w:rPr>
        <w:t>24</w:t>
      </w:r>
      <w:r>
        <w:rPr>
          <w:rFonts w:hint="eastAsia" w:eastAsia="方正仿宋_GBK" w:cs="方正仿宋_GBK"/>
          <w:sz w:val="32"/>
          <w:szCs w:val="32"/>
        </w:rPr>
        <w:t>小时线上线下相结合的全域全时指挥机制。提升城市治理精细化水平，完善网格事件流转保障方案，形成事件处置闭环流程，提升工作质效。健全非警务类警情、</w:t>
      </w:r>
      <w:r>
        <w:rPr>
          <w:rFonts w:eastAsia="方正仿宋_GBK"/>
          <w:sz w:val="32"/>
          <w:szCs w:val="32"/>
        </w:rPr>
        <w:t>12345</w:t>
      </w:r>
      <w:r>
        <w:rPr>
          <w:rFonts w:hint="eastAsia" w:eastAsia="方正仿宋_GBK" w:cs="方正仿宋_GBK"/>
          <w:sz w:val="32"/>
          <w:szCs w:val="32"/>
        </w:rPr>
        <w:t>投诉、城市管理、市场监管、文明城市创建等重点部门、重点领域突出问题常态化预警研判、综合调度机制，加大综合执法运用，形成群众诉求“接诉即办、未诉先办”能力，努力前移治理关口。加强网格共治力量建设。持续推动党员干部常态化下沉。加强网格专业力量建设，提升网格协作水平；加大专职网格员培训力度，提升业务水平和服务能力，充分发挥政法网格员专业优势，参与做好网格服务管理工作。动员社会力量参与网格化治理，全面提升老旧小区物业管理服务、健全社区党群服务中心功能，构筑多元联动社区治理模式。</w:t>
      </w:r>
    </w:p>
    <w:p w14:paraId="1040742C">
      <w:pPr>
        <w:pStyle w:val="5"/>
        <w:spacing w:after="200" w:line="520" w:lineRule="exact"/>
        <w:jc w:val="center"/>
        <w:rPr>
          <w:rFonts w:ascii="方正楷体_GBK" w:hAnsi="方正楷体_GBK" w:eastAsia="方正楷体_GBK"/>
          <w:b w:val="0"/>
          <w:bCs w:val="0"/>
        </w:rPr>
      </w:pPr>
      <w:bookmarkStart w:id="182" w:name="_Toc60466329"/>
      <w:r>
        <w:rPr>
          <w:rFonts w:hint="eastAsia" w:ascii="方正楷体_GBK" w:hAnsi="方正楷体_GBK" w:eastAsia="方正楷体_GBK" w:cs="方正楷体_GBK"/>
          <w:b w:val="0"/>
          <w:bCs w:val="0"/>
        </w:rPr>
        <w:t>第三节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深入打造最优营商环境</w:t>
      </w:r>
      <w:bookmarkEnd w:id="182"/>
    </w:p>
    <w:p w14:paraId="4F35888C">
      <w:pPr>
        <w:spacing w:line="590" w:lineRule="exact"/>
        <w:ind w:firstLine="629"/>
        <w:rPr>
          <w:rFonts w:eastAsia="方正仿宋_GBK"/>
          <w:sz w:val="32"/>
          <w:szCs w:val="32"/>
        </w:rPr>
      </w:pPr>
      <w:r>
        <w:rPr>
          <w:rFonts w:hint="eastAsia" w:eastAsia="方正仿宋_GBK" w:cs="方正仿宋_GBK"/>
          <w:sz w:val="32"/>
          <w:szCs w:val="32"/>
        </w:rPr>
        <w:t>持续深化“放管服改革”，聚焦政务服务、市场监管、法治建设等多领域，坚持企业思维、问题导向，进一步加大创新力度、简政放权，推动更多事项集成办理，不断降低制度性交易成本；加快构建依法行政政府治理体系，推进体制机制改革，围绕企业全生命周期，营造便捷高效、公平公正、服务优先的营商环境。坚持公平竞争审查制度，强化反垄断、反不正当竞争执法，加强对医疗服务、教育、检测等价格进行重点治理，加大对网络虚假广告、互联网非法金融资讯的监测查处力度，保障各类企业公平参与市场竞争；加大知识产权保护力度和服务，为优质企业发展腾出市场空间；构建以“双随机、一公开”为手段，以重点监管为补充，以信用监管为基础的新型市场监管体系；实现“证照分离”改革全覆盖，大力推进“照后减证”和简化审批，试点行业许可证告知承诺制改革，进一步扩大告知承诺制实施范围。聚焦企业全生命周期，从开办到注销持续推出优化审批服务，不断拓宽“一件事一次办”运用场景，加快推进高频事项“一网通办”；探索推动“</w:t>
      </w:r>
      <w:r>
        <w:rPr>
          <w:rFonts w:eastAsia="方正仿宋_GBK"/>
          <w:sz w:val="32"/>
          <w:szCs w:val="32"/>
        </w:rPr>
        <w:t>12345+</w:t>
      </w:r>
      <w:r>
        <w:rPr>
          <w:rFonts w:hint="eastAsia" w:eastAsia="方正仿宋_GBK" w:cs="方正仿宋_GBK"/>
          <w:sz w:val="32"/>
          <w:szCs w:val="32"/>
        </w:rPr>
        <w:t>网格化</w:t>
      </w:r>
      <w:r>
        <w:rPr>
          <w:rFonts w:eastAsia="方正仿宋_GBK"/>
          <w:sz w:val="32"/>
          <w:szCs w:val="32"/>
        </w:rPr>
        <w:t>+</w:t>
      </w:r>
      <w:r>
        <w:rPr>
          <w:rFonts w:hint="eastAsia" w:eastAsia="方正仿宋_GBK" w:cs="方正仿宋_GBK"/>
          <w:sz w:val="32"/>
          <w:szCs w:val="32"/>
        </w:rPr>
        <w:t>吹哨”工作深度融合，实现营商环境诉求快速受理，不断提升办理质效。加强法治化营商环境建设，依法平等保护各种所有制经济产权和合法权益；推进公共法律服务，法律顾问、法律援助、矛盾纠纷多元化解等机制运行规范化；加强府院联动，建立信息共享、案件协调等问题会商机制和沟通平台；深化法企同行，加强法治培训宣传，营造有利于民营企业、中小微市场主体和企业家权益保护的良好法治环境，保障中小企业权益，纾困解难，增强活力，促进健康稳定成长。</w:t>
      </w:r>
    </w:p>
    <w:p w14:paraId="18F2FFA4">
      <w:pPr>
        <w:pStyle w:val="5"/>
        <w:spacing w:after="200" w:line="520" w:lineRule="exact"/>
        <w:jc w:val="center"/>
        <w:rPr>
          <w:rFonts w:ascii="方正楷体_GBK" w:hAnsi="方正楷体_GBK" w:eastAsia="方正楷体_GBK"/>
          <w:b w:val="0"/>
          <w:bCs w:val="0"/>
        </w:rPr>
      </w:pPr>
      <w:bookmarkStart w:id="183" w:name="_Toc60466330"/>
      <w:r>
        <w:rPr>
          <w:rFonts w:hint="eastAsia" w:ascii="方正楷体_GBK" w:hAnsi="方正楷体_GBK" w:eastAsia="方正楷体_GBK" w:cs="方正楷体_GBK"/>
          <w:b w:val="0"/>
          <w:bCs w:val="0"/>
        </w:rPr>
        <w:t>第四节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推进国有企业市场化改革</w:t>
      </w:r>
      <w:bookmarkEnd w:id="183"/>
    </w:p>
    <w:p w14:paraId="7776B43F">
      <w:pPr>
        <w:spacing w:line="590" w:lineRule="exact"/>
        <w:ind w:firstLine="629"/>
        <w:rPr>
          <w:rFonts w:eastAsia="方正仿宋_GBK"/>
          <w:sz w:val="32"/>
          <w:szCs w:val="32"/>
        </w:rPr>
      </w:pPr>
      <w:r>
        <w:rPr>
          <w:rFonts w:hint="eastAsia" w:eastAsia="方正仿宋_GBK" w:cs="方正仿宋_GBK"/>
          <w:sz w:val="32"/>
          <w:szCs w:val="32"/>
        </w:rPr>
        <w:t>坚持和加强党对国有企业的全面领导，毫不动摇巩固和发展公有制经济，加快完善国有企业现代法人治理结构和市场化运营机制，提升国企市场化能力和活力。系统梳理、合理调配、统筹管理、逐步盘活在手国有资源，聚焦主业，提升专业，集中力量打造精品品牌，提高国有资产投资回报率。以绩效考核为引导，激励区属国企发挥自身资源优势，提高市场化业务占比，提高对区域经济工作的贡献度。规范有序、积极稳妥推进国有企业混合所有制改革，在科技创新、大数据管理、项目运作等领域探索先行先试，实现市场化运营。支持符合条件的国有企业建立骨干员工持股、分红激励等中长期激励机制。鼓励有条件的国有集团利用资本市场做大做强，创新融资机制、运用专业手段，在更大范围内拓宽融资渠道，全力提升整体实力和资产规模。支持非公有制经济高质量发展。健全支持民营企业、外商投资企业发展的市场、政策、法治和社会环境，建立面向各类企业主体的透明、公开信息获取和交流渠道，有效破除障碍和壁垒，营造并保护各种所有制主体依法平等使用资源要素、公开公平公正参与竞争、享受同等法治环境和政务信息资源的市场环境。</w:t>
      </w:r>
    </w:p>
    <w:p w14:paraId="4CFCC0D2">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184" w:name="_Toc60466331"/>
      <w:r>
        <w:rPr>
          <w:rFonts w:hint="eastAsia" w:ascii="方正黑体_GBK" w:hAnsi="方正黑体_GBK" w:eastAsia="方正黑体_GBK" w:cs="方正黑体_GBK"/>
          <w:b w:val="0"/>
          <w:bCs w:val="0"/>
        </w:rPr>
        <w:t>第三十章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深入扩大有效需求</w:t>
      </w:r>
      <w:bookmarkEnd w:id="184"/>
    </w:p>
    <w:p w14:paraId="0781309A">
      <w:pPr>
        <w:pStyle w:val="5"/>
        <w:spacing w:after="200" w:line="520" w:lineRule="exact"/>
        <w:jc w:val="center"/>
        <w:rPr>
          <w:rFonts w:ascii="方正楷体_GBK" w:hAnsi="方正楷体_GBK" w:eastAsia="方正楷体_GBK"/>
          <w:b w:val="0"/>
          <w:bCs w:val="0"/>
        </w:rPr>
      </w:pPr>
      <w:bookmarkStart w:id="185" w:name="_Toc60466332"/>
      <w:r>
        <w:rPr>
          <w:rFonts w:hint="eastAsia" w:ascii="方正楷体_GBK" w:hAnsi="方正楷体_GBK" w:eastAsia="方正楷体_GBK" w:cs="方正楷体_GBK"/>
          <w:b w:val="0"/>
          <w:bCs w:val="0"/>
        </w:rPr>
        <w:t>第一节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建设区域综合消费中心</w:t>
      </w:r>
      <w:bookmarkEnd w:id="185"/>
    </w:p>
    <w:p w14:paraId="76B99167">
      <w:pPr>
        <w:spacing w:line="590" w:lineRule="exact"/>
        <w:ind w:firstLine="629"/>
        <w:rPr>
          <w:rFonts w:eastAsia="方正仿宋_GBK"/>
          <w:sz w:val="32"/>
          <w:szCs w:val="32"/>
        </w:rPr>
      </w:pPr>
      <w:r>
        <w:rPr>
          <w:rFonts w:hint="eastAsia" w:eastAsia="方正仿宋_GBK" w:cs="方正仿宋_GBK"/>
          <w:sz w:val="32"/>
          <w:szCs w:val="32"/>
        </w:rPr>
        <w:t>构筑多层次、多样化消费载体平台作用，重塑太平南路、老门东等特色商业街区，放大夫子庙全国示范步行街效应，擦亮新街口“中华第一商圈”金字招牌，培育南部新城消费新增长级。推进智慧商圈建设，探索建设智慧商业服务体系，推动停车诱导、购物导航、移动支付、基于位置信息服务等在商圈中的应用，打造“智慧夫子庙”等一批有影响力的智慧商圈。促进夜间经济发展，以夫子庙、老门东、大板巷等为关键节点，加快沉浸式体验消费等夜间经济新模式、新业态布局，点亮“夜间经济带”。推动老字号回归再繁荣，壮大中央、新百、绿柳居、奇芳阁等商业老字号，在热点园区、景区、街区、楼宇设置老字号专柜，形成品牌专区。发展网红经济、直播经济、平台经济，推动品牌连锁经营和商业数字化。培育新消费，统筹享受型、家庭型、个性化、共享式、体验式“五代”消费类型，发展社群营销，引导消费进企业、进家庭。支持新零售企业下沉社区，依托邻里中心实现消费集成，提升社区商业发展品质。</w:t>
      </w:r>
    </w:p>
    <w:p w14:paraId="149309C1">
      <w:pPr>
        <w:pStyle w:val="5"/>
        <w:spacing w:after="200" w:line="520" w:lineRule="exact"/>
        <w:jc w:val="center"/>
        <w:rPr>
          <w:rFonts w:ascii="方正楷体_GBK" w:hAnsi="方正楷体_GBK" w:eastAsia="方正楷体_GBK"/>
          <w:b w:val="0"/>
          <w:bCs w:val="0"/>
        </w:rPr>
      </w:pPr>
      <w:bookmarkStart w:id="186" w:name="_Toc60466333"/>
      <w:r>
        <w:rPr>
          <w:rFonts w:hint="eastAsia" w:ascii="方正楷体_GBK" w:hAnsi="方正楷体_GBK" w:eastAsia="方正楷体_GBK" w:cs="方正楷体_GBK"/>
          <w:b w:val="0"/>
          <w:bCs w:val="0"/>
        </w:rPr>
        <w:t>第二节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放大项目投资牵引作用</w:t>
      </w:r>
      <w:bookmarkEnd w:id="186"/>
    </w:p>
    <w:p w14:paraId="15CCDD8A">
      <w:pPr>
        <w:spacing w:line="590" w:lineRule="exact"/>
        <w:ind w:firstLine="629"/>
        <w:rPr>
          <w:rFonts w:eastAsia="方正仿宋_GBK"/>
          <w:sz w:val="32"/>
          <w:szCs w:val="32"/>
        </w:rPr>
      </w:pPr>
      <w:r>
        <w:rPr>
          <w:rFonts w:hint="eastAsia" w:eastAsia="方正仿宋_GBK" w:cs="方正仿宋_GBK"/>
          <w:sz w:val="32"/>
          <w:szCs w:val="32"/>
        </w:rPr>
        <w:t>加强项目土地运作统筹，充分挖掘存量建设用地潜力，加快闲置土地的整理、开发、利用，鼓励开发主体充分利用地上地下空间，促进土地立体利用、综合利用，切实做好用地保障。深化投融资体制改革，强化政府投资引导带动作用，提高区属国企平台融资能力，鼓励社会资本通过</w:t>
      </w:r>
      <w:r>
        <w:rPr>
          <w:rFonts w:eastAsia="方正仿宋_GBK"/>
          <w:sz w:val="32"/>
          <w:szCs w:val="32"/>
        </w:rPr>
        <w:t>PPP</w:t>
      </w:r>
      <w:r>
        <w:rPr>
          <w:rFonts w:hint="eastAsia" w:eastAsia="方正仿宋_GBK" w:cs="方正仿宋_GBK"/>
          <w:sz w:val="32"/>
          <w:szCs w:val="32"/>
        </w:rPr>
        <w:t>、政府购买服务等方式参与重点领域项目建设，形成市场主导的投资内生增长机制。完善重大项目全生命周期服务机制，依托全区经济管理平台建设，创新智慧化推进手段，优化项目推进环境。加大对科技创新、生态环保、新型基础设施、基本公共服务等领域的投资力度，加快推进创新湾区建设、总部经济载体、示范性旧改工程、教育卫生民生工程等重大项目落地。</w:t>
      </w:r>
    </w:p>
    <w:p w14:paraId="3B2834CC">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187" w:name="_Toc60466334"/>
      <w:r>
        <w:rPr>
          <w:rFonts w:hint="eastAsia" w:ascii="方正黑体_GBK" w:hAnsi="方正黑体_GBK" w:eastAsia="方正黑体_GBK" w:cs="方正黑体_GBK"/>
          <w:b w:val="0"/>
          <w:bCs w:val="0"/>
        </w:rPr>
        <w:t>第三十一章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拓展外向发展空间</w:t>
      </w:r>
      <w:bookmarkEnd w:id="187"/>
    </w:p>
    <w:p w14:paraId="7619B75B">
      <w:pPr>
        <w:pStyle w:val="5"/>
        <w:spacing w:after="200" w:line="520" w:lineRule="exact"/>
        <w:jc w:val="center"/>
        <w:rPr>
          <w:rFonts w:ascii="方正楷体_GBK" w:hAnsi="方正楷体_GBK" w:eastAsia="方正楷体_GBK"/>
          <w:b w:val="0"/>
          <w:bCs w:val="0"/>
        </w:rPr>
      </w:pPr>
      <w:bookmarkStart w:id="188" w:name="_Toc60466335"/>
      <w:r>
        <w:rPr>
          <w:rFonts w:hint="eastAsia" w:ascii="方正楷体_GBK" w:hAnsi="方正楷体_GBK" w:eastAsia="方正楷体_GBK" w:cs="方正楷体_GBK"/>
          <w:b w:val="0"/>
          <w:bCs w:val="0"/>
        </w:rPr>
        <w:t>第一节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积极融入国家战略</w:t>
      </w:r>
      <w:bookmarkEnd w:id="188"/>
    </w:p>
    <w:p w14:paraId="1CF81194">
      <w:pPr>
        <w:spacing w:line="590" w:lineRule="exact"/>
        <w:ind w:firstLine="629"/>
        <w:rPr>
          <w:rFonts w:eastAsia="方正仿宋_GBK"/>
          <w:sz w:val="32"/>
          <w:szCs w:val="32"/>
        </w:rPr>
      </w:pPr>
      <w:r>
        <w:rPr>
          <w:rFonts w:hint="eastAsia" w:eastAsia="方正仿宋_GBK" w:cs="方正仿宋_GBK"/>
          <w:sz w:val="32"/>
          <w:szCs w:val="32"/>
        </w:rPr>
        <w:t>融入“一带一路”</w:t>
      </w:r>
      <w:r>
        <w:rPr>
          <w:rFonts w:hint="eastAsia" w:eastAsia="方正仿宋_GBK" w:cs="方正仿宋_GBK"/>
          <w:sz w:val="32"/>
          <w:szCs w:val="32"/>
          <w:lang w:val="en-US" w:eastAsia="zh-CN"/>
        </w:rPr>
        <w:t>倡议</w:t>
      </w:r>
      <w:r>
        <w:rPr>
          <w:rFonts w:hint="eastAsia" w:eastAsia="方正仿宋_GBK" w:cs="方正仿宋_GBK"/>
          <w:sz w:val="32"/>
          <w:szCs w:val="32"/>
        </w:rPr>
        <w:t>，整合秦淮河、明城墙、大报恩寺、郑和航海等国际关注度较高资源，推动“秦淮文化”走出去，扩大国际影响力。继续开展秦淮河与塞纳河、圣安东尼奥河，夫子庙与马六甲鸡场街等国际交流与深度合作，设计街区形象推广口号和标志，形成一揽子推广计划，提升街区在中外媒体的正面曝光度和辨识度。融入“大运河国家文化公园”建设，突出展现秦淮水文化特色，挖掘运河文化内涵，建立并增强与大运河沿线其他城市区域“河文化”的互动联系，建设水文化展示馆，拓展文旅商融合发展空间。融入“长江经济带”保护，加强对辖区内生态红线区域保护，建立健全断面水质监测预警、入河排污口监管、固废治理、地质灾害防治与应急管理等长效机制。与上海、武汉、重庆等长江经济带中心城市主城区建立开放合作和主体联动关系，学习借鉴产业发展、环境保护、城市管理等方面的经验，对标找差，提升发展质量。融入“长三角一体化”，加强与上海、苏州、常州、无锡、杭州、宁波等城市主城区的联系对接，开展专题招商推介、项目推荐和文化推广，主动研究并积极促成科技、文化、旅游、养老、医疗、教育等产业和民生项目跨地区合作。融入</w:t>
      </w:r>
      <w:r>
        <w:rPr>
          <w:rFonts w:eastAsia="方正仿宋_GBK"/>
          <w:sz w:val="32"/>
          <w:szCs w:val="32"/>
        </w:rPr>
        <w:t>G42</w:t>
      </w:r>
      <w:r>
        <w:rPr>
          <w:rFonts w:hint="eastAsia" w:eastAsia="方正仿宋_GBK" w:cs="方正仿宋_GBK"/>
          <w:sz w:val="32"/>
          <w:szCs w:val="32"/>
        </w:rPr>
        <w:t>创新走廊带，加快区块链产业技术协同发展。</w:t>
      </w:r>
    </w:p>
    <w:p w14:paraId="1B76306D">
      <w:pPr>
        <w:pStyle w:val="5"/>
        <w:spacing w:after="200" w:line="520" w:lineRule="exact"/>
        <w:jc w:val="center"/>
        <w:rPr>
          <w:rFonts w:ascii="方正楷体_GBK" w:hAnsi="方正楷体_GBK" w:eastAsia="方正楷体_GBK"/>
          <w:b w:val="0"/>
          <w:bCs w:val="0"/>
        </w:rPr>
      </w:pPr>
      <w:bookmarkStart w:id="189" w:name="_Toc60466336"/>
      <w:r>
        <w:rPr>
          <w:rFonts w:hint="eastAsia" w:ascii="方正楷体_GBK" w:hAnsi="方正楷体_GBK" w:eastAsia="方正楷体_GBK" w:cs="方正楷体_GBK"/>
          <w:b w:val="0"/>
          <w:bCs w:val="0"/>
        </w:rPr>
        <w:t>第二节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加强有效国际交流</w:t>
      </w:r>
      <w:bookmarkEnd w:id="189"/>
    </w:p>
    <w:p w14:paraId="685D1F10">
      <w:pPr>
        <w:spacing w:line="590" w:lineRule="exact"/>
        <w:ind w:firstLine="629"/>
        <w:rPr>
          <w:rFonts w:eastAsia="方正仿宋_GBK"/>
          <w:sz w:val="32"/>
          <w:szCs w:val="32"/>
        </w:rPr>
      </w:pPr>
      <w:r>
        <w:rPr>
          <w:rFonts w:hint="eastAsia" w:eastAsia="方正仿宋_GBK" w:cs="方正仿宋_GBK"/>
          <w:sz w:val="32"/>
          <w:szCs w:val="32"/>
        </w:rPr>
        <w:t>加大文化交流力度，扩大国内外友好城市建立和交流范围，加强联系合作，丰富交流活动，促进文化理解和价值认同。依托各级欧美同学会、海外学联、驻外使馆资源，广泛凝聚国内外交流活力。发挥“同乡共井”统战品牌影响力，团结可以团结的力量，实现共同文化和价值观的推广和共识达成。共同推进秦淮文化外向传播，突出国际性元素，主动参与国际文化交流。加深科技交流范围，依托高新区中日芬国际创新园、南部新城中芬合作交流中心等外向型科创载体资源，畅通对外科创交流渠道，积极融入国际创新网络，实现多边科技创新合作。做实“生根出访”，瞄准科创大国和强国的开放地区、开发企业，扩大国际合作，加快布局建立海外科技创新中心，依靠海外高校院所、民间商会等力量，精准对接有效科创产品和企业资源，形成“引进来”、“走出去”双向合作通道，探索更务实的合作模式。</w:t>
      </w:r>
    </w:p>
    <w:p w14:paraId="409A10E5"/>
    <w:p w14:paraId="4A2B55E7">
      <w:pPr>
        <w:pStyle w:val="2"/>
      </w:pPr>
    </w:p>
    <w:p w14:paraId="4CAEB913">
      <w:pPr>
        <w:pStyle w:val="2"/>
      </w:pPr>
    </w:p>
    <w:p w14:paraId="38BB9E8E">
      <w:pPr>
        <w:pStyle w:val="2"/>
      </w:pPr>
    </w:p>
    <w:p w14:paraId="556F7D4A">
      <w:pPr>
        <w:pStyle w:val="3"/>
        <w:keepNext w:val="0"/>
        <w:keepLines w:val="0"/>
        <w:spacing w:before="0" w:after="0" w:line="700" w:lineRule="exact"/>
        <w:jc w:val="center"/>
        <w:rPr>
          <w:rFonts w:ascii="方正小标宋_GBK" w:eastAsia="方正小标宋_GBK"/>
          <w:b w:val="0"/>
          <w:bCs w:val="0"/>
        </w:rPr>
      </w:pPr>
      <w:bookmarkStart w:id="190" w:name="_Toc60466337"/>
      <w:r>
        <w:rPr>
          <w:rFonts w:hint="eastAsia" w:ascii="方正小标宋_GBK" w:eastAsia="方正小标宋_GBK" w:cs="方正小标宋_GBK"/>
          <w:b w:val="0"/>
          <w:bCs w:val="0"/>
        </w:rPr>
        <w:t>第九篇</w:t>
      </w:r>
      <w:r>
        <w:rPr>
          <w:rFonts w:ascii="方正小标宋_GBK" w:eastAsia="方正小标宋_GBK" w:cs="方正小标宋_GBK"/>
          <w:b w:val="0"/>
          <w:bCs w:val="0"/>
        </w:rPr>
        <w:t xml:space="preserve"> </w:t>
      </w:r>
      <w:r>
        <w:rPr>
          <w:rFonts w:hint="eastAsia" w:ascii="方正小标宋_GBK" w:eastAsia="方正小标宋_GBK" w:cs="方正小标宋_GBK"/>
          <w:b w:val="0"/>
          <w:bCs w:val="0"/>
        </w:rPr>
        <w:t>严防严控重大风险，建设安全韧性城市，推进平安秦淮迈上新台阶</w:t>
      </w:r>
      <w:bookmarkEnd w:id="190"/>
    </w:p>
    <w:p w14:paraId="6B16313C">
      <w:pPr>
        <w:spacing w:line="540" w:lineRule="exact"/>
        <w:ind w:firstLine="640" w:firstLineChars="200"/>
        <w:rPr>
          <w:rFonts w:eastAsia="方正仿宋_GBK"/>
          <w:sz w:val="32"/>
          <w:szCs w:val="32"/>
        </w:rPr>
      </w:pPr>
    </w:p>
    <w:p w14:paraId="62C1C887">
      <w:pPr>
        <w:spacing w:line="590" w:lineRule="exact"/>
        <w:ind w:firstLine="629"/>
        <w:rPr>
          <w:rFonts w:eastAsia="方正仿宋_GBK"/>
          <w:sz w:val="32"/>
          <w:szCs w:val="32"/>
        </w:rPr>
      </w:pPr>
      <w:r>
        <w:rPr>
          <w:rFonts w:hint="eastAsia" w:eastAsia="方正仿宋_GBK" w:cs="方正仿宋_GBK"/>
          <w:sz w:val="32"/>
          <w:szCs w:val="32"/>
        </w:rPr>
        <w:t>贯彻落实总体国家安全观和国家安全战略，把安全发展理念贯彻秦淮发展的全过程。完善安全生产、隐患排查和矛盾化解机制，增强重大风险防范化解能力、突发公共事件应急能力、防灾减灾救灾能力，健全完善平安秦淮建设体系，建设国家安全发展的示范城区，提升城市发展韧性和可持续发展水平。</w:t>
      </w:r>
    </w:p>
    <w:p w14:paraId="64B502FD">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191" w:name="_Toc60466338"/>
      <w:r>
        <w:rPr>
          <w:rFonts w:hint="eastAsia" w:ascii="方正黑体_GBK" w:hAnsi="方正黑体_GBK" w:eastAsia="方正黑体_GBK" w:cs="方正黑体_GBK"/>
          <w:b w:val="0"/>
          <w:bCs w:val="0"/>
        </w:rPr>
        <w:t>第三十二章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坚决捍卫国家安全</w:t>
      </w:r>
      <w:bookmarkEnd w:id="191"/>
    </w:p>
    <w:p w14:paraId="3E8450DC">
      <w:pPr>
        <w:spacing w:line="590" w:lineRule="exact"/>
        <w:ind w:firstLine="629"/>
        <w:rPr>
          <w:rFonts w:eastAsia="方正仿宋_GBK"/>
          <w:sz w:val="32"/>
          <w:szCs w:val="32"/>
        </w:rPr>
      </w:pPr>
      <w:r>
        <w:rPr>
          <w:rFonts w:hint="eastAsia" w:eastAsia="方正仿宋_GBK" w:cs="方正仿宋_GBK"/>
          <w:sz w:val="32"/>
          <w:szCs w:val="32"/>
        </w:rPr>
        <w:t>完善区委国家安全委员会领导体制和运行机制，加强对国家安全领域重大问题的分析研判和应对，强化国家安全宣传教育，全面加强网络安全工作，坚决维护国家政权安全、制度安全、意识形态安全。严厉打击敌对势力渗透、颠覆、破坏、分裂活动，持续深化反恐怖、反间谍、反邪教斗争，着力夯实国家安全人民防线。</w:t>
      </w:r>
    </w:p>
    <w:p w14:paraId="6F6EB851">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192" w:name="_Toc60466339"/>
      <w:r>
        <w:rPr>
          <w:rFonts w:hint="eastAsia" w:ascii="方正黑体_GBK" w:hAnsi="方正黑体_GBK" w:eastAsia="方正黑体_GBK" w:cs="方正黑体_GBK"/>
          <w:b w:val="0"/>
          <w:bCs w:val="0"/>
        </w:rPr>
        <w:t>第三十三章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注重防控重大风险</w:t>
      </w:r>
      <w:bookmarkEnd w:id="192"/>
    </w:p>
    <w:p w14:paraId="481E3DA5">
      <w:pPr>
        <w:spacing w:line="590" w:lineRule="exact"/>
        <w:ind w:firstLine="629"/>
        <w:rPr>
          <w:rFonts w:eastAsia="方正仿宋_GBK"/>
          <w:sz w:val="32"/>
          <w:szCs w:val="32"/>
        </w:rPr>
      </w:pPr>
      <w:r>
        <w:rPr>
          <w:rFonts w:hint="eastAsia" w:eastAsia="方正仿宋_GBK" w:cs="方正仿宋_GBK"/>
          <w:sz w:val="32"/>
          <w:szCs w:val="32"/>
        </w:rPr>
        <w:t>深入推进风险防控“四项机制”实战运用，提高风险研判和评估质量，源头防范化解重大矛盾风险。加强经济安全风险预警、防控机制和能力建设，保障全区重要产业、基础设施安全可控。维护水利、电力、供水、交通、通信、网络、金融等重要基础设施安全，积极防范化解金融领域风险，坚决维护生态环境安全。完善和落实安全生产责任，推进安全生产改造，提升安全生产管理水平。推动危险化学品、建筑施工、交通、火灾等重特大安全事故起数、死亡人数同步实现明显下降。维护社会稳定和安全。坚持和发展新时代“枫桥经验”，畅通和规范群众诉求表达、利益协调、权益保障通道。健全完善信访工作机制，构建源头防控、排查梳理、纠纷化解、应急处置的社会矛盾综合处理体系。加强社会心理服务和危机干预。提高社会治安防控体系现代化水平，坚决防范和打击暴力恐怖、黑恶势力和各类犯罪，不断提高群众安全感。</w:t>
      </w:r>
    </w:p>
    <w:p w14:paraId="3EEC5647">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193" w:name="_Toc60466340"/>
      <w:r>
        <w:rPr>
          <w:rFonts w:hint="eastAsia" w:ascii="方正黑体_GBK" w:hAnsi="方正黑体_GBK" w:eastAsia="方正黑体_GBK" w:cs="方正黑体_GBK"/>
          <w:b w:val="0"/>
          <w:bCs w:val="0"/>
        </w:rPr>
        <w:t>第三十四章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健全应急管理体系</w:t>
      </w:r>
      <w:bookmarkEnd w:id="193"/>
    </w:p>
    <w:p w14:paraId="3B973000">
      <w:pPr>
        <w:spacing w:line="590" w:lineRule="exact"/>
        <w:ind w:firstLine="629"/>
        <w:rPr>
          <w:rFonts w:eastAsia="方正仿宋_GBK"/>
          <w:sz w:val="32"/>
          <w:szCs w:val="32"/>
        </w:rPr>
      </w:pPr>
      <w:r>
        <w:rPr>
          <w:rFonts w:hint="eastAsia" w:eastAsia="方正仿宋_GBK" w:cs="方正仿宋_GBK"/>
          <w:sz w:val="32"/>
          <w:szCs w:val="32"/>
        </w:rPr>
        <w:t>逐步建成具有秦淮特色、满足</w:t>
      </w:r>
      <w:r>
        <w:fldChar w:fldCharType="begin"/>
      </w:r>
      <w:r>
        <w:instrText xml:space="preserve"> HYPERLINK "http://www.baidu.com/link?url=ExtfWRnS77TrUXqrSnfNlRhZDFjYhgm5LfP7KwKsar4-t-x1NzAVXMghe5CC5ou_sxiMVYehaZ5_iZr_lhRixK" \t "https://www.baidu.com/_blank" </w:instrText>
      </w:r>
      <w:r>
        <w:fldChar w:fldCharType="separate"/>
      </w:r>
      <w:r>
        <w:rPr>
          <w:rFonts w:hint="eastAsia" w:eastAsia="方正仿宋_GBK" w:cs="方正仿宋_GBK"/>
          <w:sz w:val="32"/>
          <w:szCs w:val="32"/>
        </w:rPr>
        <w:t>现代化国际性城市中心</w:t>
      </w:r>
      <w:r>
        <w:rPr>
          <w:rFonts w:hint="eastAsia" w:eastAsia="方正仿宋_GBK" w:cs="方正仿宋_GBK"/>
          <w:sz w:val="32"/>
          <w:szCs w:val="32"/>
        </w:rPr>
        <w:fldChar w:fldCharType="end"/>
      </w:r>
      <w:r>
        <w:rPr>
          <w:rFonts w:hint="eastAsia" w:eastAsia="方正仿宋_GBK" w:cs="方正仿宋_GBK"/>
          <w:sz w:val="32"/>
          <w:szCs w:val="32"/>
        </w:rPr>
        <w:t>需要的应急管理工作机制，健全完善安全生产责任制度，落实企业主体责任，实施科学有效监管，完善防灾减灾救灾体系，进一步改善重点行业、领域安全生产状况，提升应急管理精细化服务水平，增进社会各方力量参与度和公共安全文化素质。</w:t>
      </w:r>
    </w:p>
    <w:p w14:paraId="3C47614D">
      <w:pPr>
        <w:spacing w:line="550" w:lineRule="exact"/>
        <w:ind w:firstLine="629"/>
        <w:rPr>
          <w:rFonts w:eastAsia="方正仿宋_GBK"/>
          <w:sz w:val="32"/>
          <w:szCs w:val="32"/>
        </w:rPr>
      </w:pPr>
      <w:r>
        <w:rPr>
          <w:rFonts w:hint="eastAsia" w:eastAsia="方正仿宋_GBK" w:cs="方正仿宋_GBK"/>
          <w:sz w:val="32"/>
          <w:szCs w:val="32"/>
        </w:rPr>
        <w:t>加强自然灾害防御设施建设，重点提升学校、医院、居民住房、高层建筑、交通基础设施、化工园区、水电气生命线工程以及其他重点设施的设防水平和承灾能力。充分利用公园、广场、学校、体育场馆、地下空间等公共服务设施及规划用地，推进全区应急避难场所设施标准化建设。重点加强街道、社区应急避难场所和应急避灾站点建设，就近就便为群众提供应急安置服务。</w:t>
      </w:r>
    </w:p>
    <w:p w14:paraId="0BB48502">
      <w:pPr>
        <w:spacing w:line="550" w:lineRule="exact"/>
        <w:ind w:firstLine="629"/>
        <w:rPr>
          <w:rFonts w:eastAsia="方正仿宋_GBK"/>
          <w:sz w:val="32"/>
          <w:szCs w:val="32"/>
        </w:rPr>
      </w:pPr>
      <w:r>
        <w:rPr>
          <w:rFonts w:hint="eastAsia" w:eastAsia="方正仿宋_GBK" w:cs="方正仿宋_GBK"/>
          <w:sz w:val="32"/>
          <w:szCs w:val="32"/>
        </w:rPr>
        <w:t>建立健全物资储备体系，完善现有的救灾物资储备点，增加应急物资储备量，制定应急物资采购、调配、征用方案。建立健全应急物资社会化储备制度，开展工作试点，优化储备布局，丰富储备种类。建立应急物资社会化储备补偿制度，鼓励有条件的企事业单位、超市（商店）、居民家庭代储应急物资。</w:t>
      </w:r>
    </w:p>
    <w:p w14:paraId="476AEE37">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194" w:name="_Toc60466341"/>
      <w:r>
        <w:rPr>
          <w:rFonts w:hint="eastAsia" w:ascii="方正黑体_GBK" w:hAnsi="方正黑体_GBK" w:eastAsia="方正黑体_GBK" w:cs="方正黑体_GBK"/>
          <w:b w:val="0"/>
          <w:bCs w:val="0"/>
        </w:rPr>
        <w:t>第三十五章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提升安全服务能力</w:t>
      </w:r>
      <w:bookmarkEnd w:id="194"/>
    </w:p>
    <w:p w14:paraId="01168255">
      <w:pPr>
        <w:spacing w:line="550" w:lineRule="exact"/>
        <w:ind w:firstLine="629"/>
        <w:rPr>
          <w:rFonts w:eastAsia="方正仿宋_GBK"/>
          <w:sz w:val="32"/>
          <w:szCs w:val="32"/>
        </w:rPr>
      </w:pPr>
      <w:r>
        <w:rPr>
          <w:rFonts w:hint="eastAsia" w:eastAsia="方正仿宋_GBK" w:cs="方正仿宋_GBK"/>
          <w:sz w:val="32"/>
          <w:szCs w:val="32"/>
        </w:rPr>
        <w:t>推进安全生产改造，制定安全生产禁止和限制类产业目录，推进企业安全生产标准化建设。加强城市公共设施风险防控，建立地下管线综合管理信息系统，城市电梯应急处置平台。建立城市应急管理综合服务平台，整合监管数据和应急资源，提升工作效能。安全生产事故起数、死亡人数、亿元</w:t>
      </w:r>
      <w:r>
        <w:rPr>
          <w:rFonts w:eastAsia="方正仿宋_GBK"/>
          <w:sz w:val="32"/>
          <w:szCs w:val="32"/>
        </w:rPr>
        <w:t>GDP</w:t>
      </w:r>
      <w:r>
        <w:rPr>
          <w:rFonts w:hint="eastAsia" w:eastAsia="方正仿宋_GBK" w:cs="方正仿宋_GBK"/>
          <w:sz w:val="32"/>
          <w:szCs w:val="32"/>
        </w:rPr>
        <w:t>生产安全事故死亡率、道路交通事故万车死亡率、火灾十万人口死亡率、万台特种设备事故死亡率和平均每百万人口因灾死亡率等逐年下降。</w:t>
      </w:r>
    </w:p>
    <w:p w14:paraId="32A98785">
      <w:pPr>
        <w:spacing w:line="550" w:lineRule="exact"/>
        <w:ind w:firstLine="629"/>
        <w:rPr>
          <w:rFonts w:eastAsia="方正仿宋_GBK"/>
          <w:sz w:val="32"/>
          <w:szCs w:val="32"/>
        </w:rPr>
      </w:pPr>
      <w:r>
        <w:rPr>
          <w:rFonts w:hint="eastAsia" w:eastAsia="方正仿宋_GBK" w:cs="方正仿宋_GBK"/>
          <w:sz w:val="32"/>
          <w:szCs w:val="32"/>
        </w:rPr>
        <w:t>推进校园食品安全建设，建立食堂、用餐配送单位及学校周边食品经营单位长效检查机制，实现校园食品安全监管全覆盖</w:t>
      </w:r>
      <w:r>
        <w:rPr>
          <w:rFonts w:eastAsia="方正仿宋_GBK"/>
          <w:sz w:val="32"/>
          <w:szCs w:val="32"/>
        </w:rPr>
        <w:t>,</w:t>
      </w:r>
      <w:r>
        <w:rPr>
          <w:rFonts w:hint="eastAsia" w:eastAsia="方正仿宋_GBK" w:cs="方正仿宋_GBK"/>
          <w:sz w:val="32"/>
          <w:szCs w:val="32"/>
        </w:rPr>
        <w:t>确保校园食品安全零事故。加强食用农产品监管，推进农贸市场使用食用农产品信息化溯源系统建立完善，农贸市场食用农产品快检室建设全覆盖。加快推进食品经营风险分级管理，强化网络餐饮服务、食品摊贩服务管理水平。规范药品、医疗器械市场秩序，打击制售假劣药品、医疗器械的违法行为，完善药品、医疗器械安全管理体系。加强老旧高层电梯消险，完善“预诊预警”机制，继续开展老旧住宅电梯专项整治行动。</w:t>
      </w:r>
    </w:p>
    <w:p w14:paraId="2ADB9E79">
      <w:pPr>
        <w:pStyle w:val="3"/>
        <w:keepNext w:val="0"/>
        <w:keepLines w:val="0"/>
        <w:spacing w:before="0" w:after="0" w:line="540" w:lineRule="exact"/>
        <w:jc w:val="center"/>
        <w:rPr>
          <w:rFonts w:eastAsia="华文中宋"/>
          <w:b w:val="0"/>
          <w:bCs w:val="0"/>
        </w:rPr>
      </w:pPr>
    </w:p>
    <w:p w14:paraId="6D187983"/>
    <w:p w14:paraId="6BB2DAC5">
      <w:pPr>
        <w:pStyle w:val="3"/>
        <w:keepNext w:val="0"/>
        <w:keepLines w:val="0"/>
        <w:spacing w:before="0" w:after="0" w:line="700" w:lineRule="exact"/>
        <w:jc w:val="center"/>
        <w:rPr>
          <w:rFonts w:eastAsia="华文中宋"/>
          <w:b w:val="0"/>
          <w:bCs w:val="0"/>
        </w:rPr>
      </w:pPr>
      <w:bookmarkStart w:id="195" w:name="_Toc60466342"/>
      <w:r>
        <w:rPr>
          <w:rFonts w:hint="eastAsia" w:ascii="方正小标宋_GBK" w:eastAsia="方正小标宋_GBK" w:cs="方正小标宋_GBK"/>
          <w:b w:val="0"/>
          <w:bCs w:val="0"/>
        </w:rPr>
        <w:t>第十篇</w:t>
      </w:r>
      <w:r>
        <w:rPr>
          <w:rFonts w:ascii="方正小标宋_GBK" w:eastAsia="方正小标宋_GBK" w:cs="方正小标宋_GBK"/>
          <w:b w:val="0"/>
          <w:bCs w:val="0"/>
        </w:rPr>
        <w:t xml:space="preserve"> </w:t>
      </w:r>
      <w:r>
        <w:rPr>
          <w:rFonts w:hint="eastAsia" w:ascii="方正小标宋_GBK" w:eastAsia="方正小标宋_GBK" w:cs="方正小标宋_GBK"/>
          <w:b w:val="0"/>
          <w:bCs w:val="0"/>
        </w:rPr>
        <w:t>完善顶层设计体系，强化数字赋权赋能，建立智慧秦淮发展新支撑</w:t>
      </w:r>
      <w:bookmarkEnd w:id="195"/>
    </w:p>
    <w:p w14:paraId="183295B0"/>
    <w:p w14:paraId="762E9215"/>
    <w:p w14:paraId="310DC283">
      <w:pPr>
        <w:spacing w:line="590" w:lineRule="exact"/>
        <w:ind w:firstLine="629"/>
        <w:rPr>
          <w:rFonts w:eastAsia="方正仿宋_GBK"/>
          <w:sz w:val="32"/>
          <w:szCs w:val="32"/>
        </w:rPr>
      </w:pPr>
      <w:r>
        <w:rPr>
          <w:rFonts w:hint="eastAsia" w:eastAsia="方正仿宋_GBK" w:cs="方正仿宋_GBK"/>
          <w:sz w:val="32"/>
          <w:szCs w:val="32"/>
        </w:rPr>
        <w:t>顺应信息化、数字化、智慧化发展趋势，有效夯实基层基础，系统集成信息资源，完成智慧秦淮顶层设计，运行经济统筹、社会治理、城市建管、民生服务、生态管养、文化建设等多功能模块，实现全领域统筹管理和全流程跟踪服务，提升基层政府管理和服务效能。</w:t>
      </w:r>
    </w:p>
    <w:p w14:paraId="6CAEAAC8">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196" w:name="_Toc60466343"/>
      <w:r>
        <w:rPr>
          <w:rFonts w:hint="eastAsia" w:ascii="方正黑体_GBK" w:hAnsi="方正黑体_GBK" w:eastAsia="方正黑体_GBK" w:cs="方正黑体_GBK"/>
          <w:b w:val="0"/>
          <w:bCs w:val="0"/>
        </w:rPr>
        <w:t>第三十六章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完善智慧秦淮顶层设计</w:t>
      </w:r>
      <w:bookmarkEnd w:id="196"/>
    </w:p>
    <w:p w14:paraId="70E58F03">
      <w:pPr>
        <w:pStyle w:val="5"/>
        <w:spacing w:after="200"/>
        <w:jc w:val="center"/>
        <w:rPr>
          <w:rFonts w:ascii="方正楷体_GBK" w:hAnsi="方正楷体_GBK" w:eastAsia="方正楷体_GBK"/>
          <w:b w:val="0"/>
          <w:bCs w:val="0"/>
        </w:rPr>
      </w:pPr>
      <w:bookmarkStart w:id="197" w:name="_Toc60466344"/>
      <w:r>
        <w:rPr>
          <w:rFonts w:hint="eastAsia" w:ascii="方正楷体_GBK" w:hAnsi="方正楷体_GBK" w:eastAsia="方正楷体_GBK" w:cs="方正楷体_GBK"/>
          <w:b w:val="0"/>
          <w:bCs w:val="0"/>
        </w:rPr>
        <w:t>第一节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打通形成基础数据平台</w:t>
      </w:r>
      <w:bookmarkEnd w:id="197"/>
    </w:p>
    <w:p w14:paraId="36C9BBEF">
      <w:pPr>
        <w:spacing w:line="590" w:lineRule="exact"/>
        <w:ind w:firstLine="629"/>
        <w:rPr>
          <w:rFonts w:eastAsia="方正仿宋_GBK"/>
          <w:sz w:val="32"/>
          <w:szCs w:val="32"/>
        </w:rPr>
      </w:pPr>
      <w:r>
        <w:rPr>
          <w:rFonts w:hint="eastAsia" w:eastAsia="方正仿宋_GBK" w:cs="方正仿宋_GBK"/>
          <w:sz w:val="32"/>
          <w:szCs w:val="32"/>
        </w:rPr>
        <w:t>依托政务云平台建设，打通部门间数据信息壁垒，建立安全高效、分级管理的经济、社会发展信息</w:t>
      </w:r>
      <w:r>
        <w:rPr>
          <w:rFonts w:hint="eastAsia" w:eastAsia="方正仿宋_GBK" w:cs="方正仿宋_GBK"/>
          <w:sz w:val="32"/>
          <w:szCs w:val="32"/>
          <w:lang w:eastAsia="zh-CN"/>
        </w:rPr>
        <w:t>共建共治共享</w:t>
      </w:r>
      <w:r>
        <w:rPr>
          <w:rFonts w:hint="eastAsia" w:eastAsia="方正仿宋_GBK" w:cs="方正仿宋_GBK"/>
          <w:sz w:val="32"/>
          <w:szCs w:val="32"/>
        </w:rPr>
        <w:t>平台。通过信息收集、数据直报、数据整合、指标统筹、数据预警、趋势分析等功能，为决策部门提供智能在线的监测、分析、诊断的科学辅助。通过智能化、可视化信息技术，面向决策者提供全域、全平台、全行业、各类企业、社区居民事务等综合运行监测全景图。通过数据算法设定，对重大经济社会发展数据波动、重点指标、项目、事项进行更为精准的预警、分析、研判。</w:t>
      </w:r>
    </w:p>
    <w:p w14:paraId="0DA9A958">
      <w:pPr>
        <w:pStyle w:val="5"/>
        <w:spacing w:after="200"/>
        <w:jc w:val="center"/>
        <w:rPr>
          <w:rFonts w:ascii="方正楷体_GBK" w:hAnsi="方正楷体_GBK" w:eastAsia="方正楷体_GBK"/>
          <w:b w:val="0"/>
          <w:bCs w:val="0"/>
        </w:rPr>
      </w:pPr>
      <w:bookmarkStart w:id="198" w:name="_Toc60466345"/>
      <w:r>
        <w:rPr>
          <w:rFonts w:hint="eastAsia" w:ascii="方正楷体_GBK" w:hAnsi="方正楷体_GBK" w:eastAsia="方正楷体_GBK" w:cs="方正楷体_GBK"/>
          <w:b w:val="0"/>
          <w:bCs w:val="0"/>
        </w:rPr>
        <w:t>第二节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完成基础设施功能建设</w:t>
      </w:r>
      <w:bookmarkEnd w:id="198"/>
    </w:p>
    <w:p w14:paraId="49B740AE">
      <w:pPr>
        <w:spacing w:line="590" w:lineRule="exact"/>
        <w:ind w:firstLine="629"/>
        <w:rPr>
          <w:rFonts w:eastAsia="方正仿宋_GBK"/>
          <w:sz w:val="32"/>
          <w:szCs w:val="32"/>
        </w:rPr>
      </w:pPr>
      <w:r>
        <w:rPr>
          <w:rFonts w:hint="eastAsia" w:eastAsia="方正仿宋_GBK" w:cs="方正仿宋_GBK"/>
          <w:sz w:val="32"/>
          <w:szCs w:val="32"/>
        </w:rPr>
        <w:t>在硬件建设上，推进政务云平台建设和网络改造提升，发展公有云平台，组建城区级“环网</w:t>
      </w:r>
      <w:r>
        <w:rPr>
          <w:rFonts w:eastAsia="方正仿宋_GBK"/>
          <w:sz w:val="32"/>
          <w:szCs w:val="32"/>
        </w:rPr>
        <w:t>+</w:t>
      </w:r>
      <w:r>
        <w:rPr>
          <w:rFonts w:hint="eastAsia" w:eastAsia="方正仿宋_GBK" w:cs="方正仿宋_GBK"/>
          <w:sz w:val="32"/>
          <w:szCs w:val="32"/>
        </w:rPr>
        <w:t>星型”的万兆核心网，并依托太平南路和秦虹路的核心网络节点，千兆直连全区</w:t>
      </w:r>
      <w:r>
        <w:rPr>
          <w:rFonts w:eastAsia="方正仿宋_GBK"/>
          <w:sz w:val="32"/>
          <w:szCs w:val="32"/>
        </w:rPr>
        <w:t>75</w:t>
      </w:r>
      <w:r>
        <w:rPr>
          <w:rFonts w:hint="eastAsia" w:eastAsia="方正仿宋_GBK" w:cs="方正仿宋_GBK"/>
          <w:sz w:val="32"/>
          <w:szCs w:val="32"/>
        </w:rPr>
        <w:t>个党政机关和区属国企、</w:t>
      </w:r>
      <w:r>
        <w:rPr>
          <w:rFonts w:eastAsia="方正仿宋_GBK"/>
          <w:sz w:val="32"/>
          <w:szCs w:val="32"/>
        </w:rPr>
        <w:t>104</w:t>
      </w:r>
      <w:r>
        <w:rPr>
          <w:rFonts w:hint="eastAsia" w:eastAsia="方正仿宋_GBK" w:cs="方正仿宋_GBK"/>
          <w:sz w:val="32"/>
          <w:szCs w:val="32"/>
        </w:rPr>
        <w:t>个社区。在软件功能上，完成数据目录梳理归集、标准体系建设工作，按照需求建设专题模块。依托区数据中心统一的基础能力支撑和计算存储云服务体系，提供跨部门、跨领域的数据交换、共享、分析、运营等数据服务，逐步实现“统筹建云、数据上云”。</w:t>
      </w:r>
    </w:p>
    <w:p w14:paraId="0A06C30D">
      <w:pPr>
        <w:pStyle w:val="5"/>
        <w:spacing w:after="200"/>
        <w:jc w:val="center"/>
        <w:rPr>
          <w:rFonts w:ascii="方正楷体_GBK" w:hAnsi="方正楷体_GBK" w:eastAsia="方正楷体_GBK"/>
          <w:b w:val="0"/>
          <w:bCs w:val="0"/>
        </w:rPr>
      </w:pPr>
      <w:bookmarkStart w:id="199" w:name="_Toc60466346"/>
      <w:r>
        <w:rPr>
          <w:rFonts w:hint="eastAsia" w:ascii="方正楷体_GBK" w:hAnsi="方正楷体_GBK" w:eastAsia="方正楷体_GBK" w:cs="方正楷体_GBK"/>
          <w:b w:val="0"/>
          <w:bCs w:val="0"/>
        </w:rPr>
        <w:t>第三节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增强数据风险控制能力</w:t>
      </w:r>
      <w:bookmarkEnd w:id="199"/>
    </w:p>
    <w:p w14:paraId="31E6FB1F">
      <w:pPr>
        <w:spacing w:line="590" w:lineRule="exact"/>
        <w:ind w:firstLine="629"/>
        <w:rPr>
          <w:rFonts w:eastAsia="方正仿宋_GBK"/>
          <w:sz w:val="32"/>
          <w:szCs w:val="32"/>
        </w:rPr>
      </w:pPr>
      <w:r>
        <w:rPr>
          <w:rFonts w:hint="eastAsia" w:eastAsia="方正仿宋_GBK" w:cs="方正仿宋_GBK"/>
          <w:sz w:val="32"/>
          <w:szCs w:val="32"/>
        </w:rPr>
        <w:t>部署私有云，实现数据“托管式专用”，提升数据存储安全性。充分考虑基础数据浏览、查询、获取的保密等级和分级权限设定，对基础数据开放范围、数据引用、公开范围等内容实现严格界定和精准管理，形成数据提供部门、使用部门、管理部门共同治理、共同监督、共同使用、共同维护的制度体系和协作氛围，减少数据盲区和灰色地带，提高数据风险控制的意识和能力。</w:t>
      </w:r>
    </w:p>
    <w:p w14:paraId="5DBC847F">
      <w:pPr>
        <w:pStyle w:val="5"/>
        <w:spacing w:after="200"/>
        <w:jc w:val="center"/>
        <w:rPr>
          <w:rFonts w:ascii="方正楷体_GBK" w:hAnsi="方正楷体_GBK" w:eastAsia="方正楷体_GBK"/>
          <w:b w:val="0"/>
          <w:bCs w:val="0"/>
        </w:rPr>
      </w:pPr>
      <w:bookmarkStart w:id="200" w:name="_Toc60466347"/>
      <w:r>
        <w:rPr>
          <w:rFonts w:hint="eastAsia" w:ascii="方正楷体_GBK" w:hAnsi="方正楷体_GBK" w:eastAsia="方正楷体_GBK" w:cs="方正楷体_GBK"/>
          <w:b w:val="0"/>
          <w:bCs w:val="0"/>
        </w:rPr>
        <w:t>第四节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增强数据资产运管能力</w:t>
      </w:r>
      <w:bookmarkEnd w:id="200"/>
    </w:p>
    <w:p w14:paraId="2E307CB1">
      <w:pPr>
        <w:spacing w:line="590" w:lineRule="exact"/>
        <w:ind w:firstLine="629"/>
        <w:rPr>
          <w:rFonts w:eastAsia="方正仿宋_GBK"/>
          <w:sz w:val="32"/>
          <w:szCs w:val="32"/>
        </w:rPr>
      </w:pPr>
      <w:r>
        <w:rPr>
          <w:rFonts w:hint="eastAsia" w:eastAsia="方正仿宋_GBK" w:cs="方正仿宋_GBK"/>
          <w:sz w:val="32"/>
          <w:szCs w:val="32"/>
        </w:rPr>
        <w:t>在加强数据安全和隐私保护的前提下，对全区数据资源进行统一扎口管理，引进国有资产对大数据资源进行统筹运营，增强政府数据资产运营管理意识和能力，探索数据资源化、资产化、资本化实现路径。建立高效的数据交换共享机制，深度利用分散数据，实现数据互联互通、信息共享、业务协同。推动数据资产运营应用场景引进、培育和建设，对可合理利用、开发的政府数据进行深入挖掘和系统盘活，通过制度保障，实现并增强各部门数据聚合价值。</w:t>
      </w:r>
    </w:p>
    <w:p w14:paraId="62465B83">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201" w:name="_Toc60466348"/>
      <w:r>
        <w:rPr>
          <w:rFonts w:hint="eastAsia" w:ascii="方正黑体_GBK" w:hAnsi="方正黑体_GBK" w:eastAsia="方正黑体_GBK" w:cs="方正黑体_GBK"/>
          <w:b w:val="0"/>
          <w:bCs w:val="0"/>
        </w:rPr>
        <w:t>第三十七章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充实智慧秦淮管理服务功能</w:t>
      </w:r>
      <w:bookmarkEnd w:id="201"/>
    </w:p>
    <w:p w14:paraId="20225627">
      <w:pPr>
        <w:pStyle w:val="5"/>
        <w:spacing w:after="200"/>
        <w:jc w:val="center"/>
        <w:rPr>
          <w:rFonts w:ascii="方正楷体_GBK" w:hAnsi="方正楷体_GBK" w:eastAsia="方正楷体_GBK"/>
          <w:b w:val="0"/>
          <w:bCs w:val="0"/>
        </w:rPr>
      </w:pPr>
      <w:bookmarkStart w:id="202" w:name="_Toc60466349"/>
      <w:r>
        <w:rPr>
          <w:rFonts w:hint="eastAsia" w:ascii="方正楷体_GBK" w:hAnsi="方正楷体_GBK" w:eastAsia="方正楷体_GBK" w:cs="方正楷体_GBK"/>
          <w:b w:val="0"/>
          <w:bCs w:val="0"/>
        </w:rPr>
        <w:t>第一节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实现智慧经济统筹</w:t>
      </w:r>
      <w:bookmarkEnd w:id="202"/>
    </w:p>
    <w:p w14:paraId="04F7B8E3">
      <w:pPr>
        <w:spacing w:line="590" w:lineRule="exact"/>
        <w:ind w:firstLine="629"/>
        <w:rPr>
          <w:rFonts w:eastAsia="方正仿宋_GBK"/>
          <w:sz w:val="32"/>
          <w:szCs w:val="32"/>
        </w:rPr>
      </w:pPr>
      <w:r>
        <w:rPr>
          <w:rFonts w:hint="eastAsia" w:eastAsia="方正仿宋_GBK" w:cs="方正仿宋_GBK"/>
          <w:sz w:val="32"/>
          <w:szCs w:val="32"/>
        </w:rPr>
        <w:t>建设经济管理平台。统筹汇集综合经济部门、行业监管部门及各类涉企运营数据，搭建经济部门间</w:t>
      </w:r>
      <w:r>
        <w:rPr>
          <w:rFonts w:hint="eastAsia" w:eastAsia="方正仿宋_GBK" w:cs="方正仿宋_GBK"/>
          <w:sz w:val="32"/>
          <w:szCs w:val="32"/>
          <w:lang w:eastAsia="zh-CN"/>
        </w:rPr>
        <w:t>共建共治共享</w:t>
      </w:r>
      <w:r>
        <w:rPr>
          <w:rFonts w:hint="eastAsia" w:eastAsia="方正仿宋_GBK" w:cs="方正仿宋_GBK"/>
          <w:sz w:val="32"/>
          <w:szCs w:val="32"/>
        </w:rPr>
        <w:t>的大数据平台，实现指标推进、企业跟踪、招商服务、项目推进、运行分析等多项功能，为政府决策提供全时智能在线的监测、分析、诊断等科学辅助，为经济部门考核奖惩提供基础支撑。建设企业服务平台。统筹发布政府各类经济服务信息，及时对接解答企业诉求，搭建政企沟通平台，通过行业生态营造、产业链资源联动、投融资对接、政策发布申报、服务工单流转、政企互动对接、信用体系建设、满意度测评等功能，为企业提供全天候服务，增进政企互动、企企互动活跃度和企业粘性。实现园区、楼宇、街区的智慧化、集成化、标准化管理服务，预留社会化资源接入端口。建设全区资源网上服务交易平台，实现载体信息动态、政策申报、产品采购对接、知识产权服务、人才招聘服务、法律咨询服务等资源信息统筹上网。</w:t>
      </w:r>
    </w:p>
    <w:p w14:paraId="2548F546">
      <w:pPr>
        <w:pStyle w:val="5"/>
        <w:spacing w:after="200"/>
        <w:jc w:val="center"/>
        <w:rPr>
          <w:rFonts w:ascii="方正楷体_GBK" w:hAnsi="方正楷体_GBK" w:eastAsia="方正楷体_GBK"/>
          <w:b w:val="0"/>
          <w:bCs w:val="0"/>
        </w:rPr>
      </w:pPr>
      <w:bookmarkStart w:id="203" w:name="_Toc60466350"/>
      <w:r>
        <w:rPr>
          <w:rFonts w:hint="eastAsia" w:ascii="方正楷体_GBK" w:hAnsi="方正楷体_GBK" w:eastAsia="方正楷体_GBK" w:cs="方正楷体_GBK"/>
          <w:b w:val="0"/>
          <w:bCs w:val="0"/>
        </w:rPr>
        <w:t>第二节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实现智慧民生服务</w:t>
      </w:r>
      <w:bookmarkEnd w:id="203"/>
    </w:p>
    <w:p w14:paraId="5E100ACD">
      <w:pPr>
        <w:spacing w:line="590" w:lineRule="exact"/>
        <w:ind w:firstLine="629"/>
        <w:rPr>
          <w:rFonts w:eastAsia="方正仿宋_GBK"/>
          <w:sz w:val="32"/>
          <w:szCs w:val="32"/>
        </w:rPr>
      </w:pPr>
      <w:r>
        <w:rPr>
          <w:rFonts w:hint="eastAsia" w:eastAsia="方正仿宋_GBK" w:cs="方正仿宋_GBK"/>
          <w:sz w:val="32"/>
          <w:szCs w:val="32"/>
        </w:rPr>
        <w:t>实现各类公共服务设施的落图落点，服务设施详细情况展示查询，服务辐射人群的动态展示，为科学规划公用服务设施，有效补齐民生短板提供基础支撑。建立全区公共设施服务管理动态数据平台，对接社区网格化管理服务系统的数据，对接国土空间规划，实现新建公共服务设施选址、规划、建设和服务人群的科学、精准匹配，提高空间使用效率，实现多种功能复合融入。实现医疗、养老、托幼、文化、体育、教育、社会保障、民生救助等民生信息整合联动，探索民生指标、民生项目、民生实事的全流程跟踪和全生命周期管理。</w:t>
      </w:r>
    </w:p>
    <w:p w14:paraId="61253798">
      <w:pPr>
        <w:pStyle w:val="5"/>
        <w:spacing w:after="200"/>
        <w:jc w:val="center"/>
        <w:rPr>
          <w:rFonts w:ascii="方正楷体_GBK" w:hAnsi="方正楷体_GBK" w:eastAsia="方正楷体_GBK"/>
          <w:b w:val="0"/>
          <w:bCs w:val="0"/>
        </w:rPr>
      </w:pPr>
      <w:bookmarkStart w:id="204" w:name="_Toc60466351"/>
      <w:r>
        <w:rPr>
          <w:rFonts w:hint="eastAsia" w:ascii="方正楷体_GBK" w:hAnsi="方正楷体_GBK" w:eastAsia="方正楷体_GBK" w:cs="方正楷体_GBK"/>
          <w:b w:val="0"/>
          <w:bCs w:val="0"/>
        </w:rPr>
        <w:t>第三节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实现智慧城市建管</w:t>
      </w:r>
      <w:bookmarkEnd w:id="204"/>
    </w:p>
    <w:p w14:paraId="3F41FB4A">
      <w:pPr>
        <w:spacing w:line="590" w:lineRule="exact"/>
        <w:ind w:firstLine="629"/>
        <w:rPr>
          <w:rFonts w:eastAsia="方正仿宋_GBK"/>
          <w:sz w:val="32"/>
          <w:szCs w:val="32"/>
        </w:rPr>
      </w:pPr>
      <w:r>
        <w:rPr>
          <w:rFonts w:hint="eastAsia" w:eastAsia="方正仿宋_GBK" w:cs="方正仿宋_GBK"/>
          <w:sz w:val="32"/>
          <w:szCs w:val="32"/>
        </w:rPr>
        <w:t>实现全域道路交通路网体系、轨道交通体系、公共交通站点和线路体系、城市慢行系统和绿道体系、城市公园绿地、道路街巷、湖泊水系、地下管网等建设要素落图，统筹推进餐饮企业油烟在线监控、智慧工地监控、污染物排放和变化监控等智慧化城市管理体系建设，系统布设智能灯杆、智能窨井盖、智能垃圾桶、积淹水片区智能报警等智能城市基础设施，为城市管理、道路养护、应急处置等提供智能化、精准化、科学化服务。</w:t>
      </w:r>
    </w:p>
    <w:p w14:paraId="50ABC8BA">
      <w:pPr>
        <w:pStyle w:val="5"/>
        <w:spacing w:after="200"/>
        <w:jc w:val="center"/>
        <w:rPr>
          <w:rFonts w:ascii="方正楷体_GBK" w:hAnsi="方正楷体_GBK" w:eastAsia="方正楷体_GBK"/>
          <w:b w:val="0"/>
          <w:bCs w:val="0"/>
        </w:rPr>
      </w:pPr>
      <w:bookmarkStart w:id="205" w:name="_Toc60466352"/>
      <w:r>
        <w:rPr>
          <w:rFonts w:hint="eastAsia" w:ascii="方正楷体_GBK" w:hAnsi="方正楷体_GBK" w:eastAsia="方正楷体_GBK" w:cs="方正楷体_GBK"/>
          <w:b w:val="0"/>
          <w:bCs w:val="0"/>
        </w:rPr>
        <w:t>第四节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实现智慧生态管养</w:t>
      </w:r>
      <w:bookmarkEnd w:id="205"/>
    </w:p>
    <w:p w14:paraId="1CCB34CC">
      <w:pPr>
        <w:spacing w:line="550" w:lineRule="exact"/>
        <w:ind w:firstLine="629"/>
        <w:rPr>
          <w:rFonts w:eastAsia="方正仿宋_GBK"/>
          <w:sz w:val="32"/>
          <w:szCs w:val="32"/>
        </w:rPr>
      </w:pPr>
      <w:r>
        <w:rPr>
          <w:rFonts w:hint="eastAsia" w:eastAsia="方正仿宋_GBK" w:cs="方正仿宋_GBK"/>
          <w:sz w:val="32"/>
          <w:szCs w:val="32"/>
        </w:rPr>
        <w:t>创新生态环境、水环境监管手段，拓展污染防治、水务监管的智慧化方式，运用全球定位系统、视频监控、卫星遥感、红外探测、无人机巡查等技术，搭建基于物联网技术的生态环境保护数据平台、智慧水务平台，搭建大气环境网格化监管系统和水环境综合治理可视化监控系统，实现污染源、环境质量等信息实时采集，助力高效精准传递，以及污染源监控、环境质量检测、监督执法及管理决策。</w:t>
      </w:r>
    </w:p>
    <w:p w14:paraId="14583E9C">
      <w:pPr>
        <w:pStyle w:val="5"/>
        <w:spacing w:after="200"/>
        <w:jc w:val="center"/>
        <w:rPr>
          <w:rFonts w:ascii="方正楷体_GBK" w:hAnsi="方正楷体_GBK" w:eastAsia="方正楷体_GBK"/>
          <w:b w:val="0"/>
          <w:bCs w:val="0"/>
        </w:rPr>
      </w:pPr>
      <w:bookmarkStart w:id="206" w:name="_Toc60466353"/>
      <w:r>
        <w:rPr>
          <w:rFonts w:hint="eastAsia" w:ascii="方正楷体_GBK" w:hAnsi="方正楷体_GBK" w:eastAsia="方正楷体_GBK" w:cs="方正楷体_GBK"/>
          <w:b w:val="0"/>
          <w:bCs w:val="0"/>
        </w:rPr>
        <w:t>第五节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实现智慧社会治理</w:t>
      </w:r>
      <w:bookmarkEnd w:id="206"/>
    </w:p>
    <w:p w14:paraId="6CF76A77">
      <w:pPr>
        <w:spacing w:line="550" w:lineRule="exact"/>
        <w:ind w:firstLine="629"/>
        <w:rPr>
          <w:rFonts w:eastAsia="方正仿宋_GBK"/>
          <w:sz w:val="32"/>
          <w:szCs w:val="32"/>
        </w:rPr>
      </w:pPr>
      <w:r>
        <w:rPr>
          <w:rFonts w:eastAsia="方正仿宋_GBK"/>
          <w:sz w:val="32"/>
          <w:szCs w:val="32"/>
        </w:rPr>
        <w:t xml:space="preserve"> </w:t>
      </w:r>
      <w:r>
        <w:rPr>
          <w:rFonts w:hint="eastAsia" w:eastAsia="方正仿宋_GBK" w:cs="方正仿宋_GBK"/>
          <w:sz w:val="32"/>
          <w:szCs w:val="32"/>
        </w:rPr>
        <w:t>按照统一领导、联动共治、一体运行、智治支撑的“大治理”理念，优化全区社会治理综合指挥中心体系，调度解决全区与社会治理相关各类事件和问题。加强区综合指挥平台建设，通过概貌感知、信息归集、一网监管、研判预警、监督考核等方式完善</w:t>
      </w:r>
      <w:r>
        <w:rPr>
          <w:rFonts w:eastAsia="方正仿宋_GBK"/>
          <w:sz w:val="32"/>
          <w:szCs w:val="32"/>
        </w:rPr>
        <w:t>24</w:t>
      </w:r>
      <w:r>
        <w:rPr>
          <w:rFonts w:hint="eastAsia" w:eastAsia="方正仿宋_GBK" w:cs="方正仿宋_GBK"/>
          <w:sz w:val="32"/>
          <w:szCs w:val="32"/>
        </w:rPr>
        <w:t>小时全域调度体系，充分发挥指挥平台智能化优势，打造功能完备、反应敏捷、决策有力的区级“指挥方舱”，提升各级指挥中心“</w:t>
      </w:r>
      <w:r>
        <w:rPr>
          <w:rFonts w:eastAsia="方正仿宋_GBK"/>
          <w:sz w:val="32"/>
          <w:szCs w:val="32"/>
        </w:rPr>
        <w:t>1+N</w:t>
      </w:r>
      <w:r>
        <w:rPr>
          <w:rFonts w:hint="eastAsia" w:eastAsia="方正仿宋_GBK" w:cs="方正仿宋_GBK"/>
          <w:sz w:val="32"/>
          <w:szCs w:val="32"/>
        </w:rPr>
        <w:t>”快速处置响应能力，形成全区社会治理一个平台网上指挥，线上、线下高效协同的集约化、智能化运行平台，提升基层社会治理现代化水平。</w:t>
      </w:r>
    </w:p>
    <w:p w14:paraId="5C913F7A">
      <w:pPr>
        <w:pStyle w:val="5"/>
        <w:spacing w:after="200"/>
        <w:jc w:val="center"/>
        <w:rPr>
          <w:rFonts w:ascii="方正楷体_GBK" w:hAnsi="方正楷体_GBK" w:eastAsia="方正楷体_GBK"/>
          <w:b w:val="0"/>
          <w:bCs w:val="0"/>
        </w:rPr>
      </w:pPr>
      <w:bookmarkStart w:id="207" w:name="_Toc60466354"/>
      <w:r>
        <w:rPr>
          <w:rFonts w:hint="eastAsia" w:ascii="方正楷体_GBK" w:hAnsi="方正楷体_GBK" w:eastAsia="方正楷体_GBK" w:cs="方正楷体_GBK"/>
          <w:b w:val="0"/>
          <w:bCs w:val="0"/>
        </w:rPr>
        <w:t>第六节</w:t>
      </w:r>
      <w:r>
        <w:rPr>
          <w:rFonts w:ascii="方正楷体_GBK" w:hAnsi="方正楷体_GBK" w:eastAsia="方正楷体_GBK" w:cs="方正楷体_GBK"/>
          <w:b w:val="0"/>
          <w:bCs w:val="0"/>
        </w:rPr>
        <w:t xml:space="preserve"> </w:t>
      </w:r>
      <w:r>
        <w:rPr>
          <w:rFonts w:hint="eastAsia" w:ascii="方正楷体_GBK" w:hAnsi="方正楷体_GBK" w:eastAsia="方正楷体_GBK" w:cs="方正楷体_GBK"/>
          <w:b w:val="0"/>
          <w:bCs w:val="0"/>
        </w:rPr>
        <w:t>实现智慧文化建设</w:t>
      </w:r>
      <w:bookmarkEnd w:id="207"/>
    </w:p>
    <w:p w14:paraId="3B3A2D54">
      <w:pPr>
        <w:spacing w:line="550" w:lineRule="exact"/>
        <w:ind w:firstLine="629"/>
        <w:rPr>
          <w:rFonts w:eastAsia="方正仿宋_GBK"/>
          <w:sz w:val="32"/>
          <w:szCs w:val="32"/>
        </w:rPr>
      </w:pPr>
      <w:r>
        <w:rPr>
          <w:rFonts w:hint="eastAsia" w:eastAsia="方正仿宋_GBK" w:cs="方正仿宋_GBK"/>
          <w:sz w:val="32"/>
          <w:szCs w:val="32"/>
        </w:rPr>
        <w:t>搭建文旅商大数据资源、领军型人才、多元化产品、交易性功能、流量化传播等模块平台，实现精准客群、消费画像等功能，构建数字化体验式消费和场景化营销，加快向新零售转型。打造公共文化云平台，增添新闻出版、广播影视、数字传媒等企业打造数字精品内容创作和新型数字文化资源传播渠道，推进数字文化产品和公共服务在公共空间应用，在文化场馆、文娱场所、景区景点、街区园区开发数字化产品和服务，将创作、生产和传播等向云上拓展，扩大优质数字公共文化产品供给。</w:t>
      </w:r>
    </w:p>
    <w:p w14:paraId="5A6D3E50">
      <w:pPr>
        <w:pStyle w:val="2"/>
        <w:rPr>
          <w:rFonts w:eastAsia="方正仿宋_GBK"/>
          <w:sz w:val="32"/>
          <w:szCs w:val="32"/>
        </w:rPr>
      </w:pPr>
    </w:p>
    <w:p w14:paraId="4073A517">
      <w:pPr>
        <w:pStyle w:val="2"/>
        <w:rPr>
          <w:rFonts w:eastAsia="方正仿宋_GBK"/>
          <w:sz w:val="32"/>
          <w:szCs w:val="32"/>
        </w:rPr>
      </w:pPr>
    </w:p>
    <w:p w14:paraId="73E9AA20">
      <w:pPr>
        <w:pStyle w:val="2"/>
        <w:rPr>
          <w:rFonts w:eastAsia="华文中宋"/>
        </w:rPr>
      </w:pPr>
    </w:p>
    <w:p w14:paraId="40C1FDAA">
      <w:pPr>
        <w:pStyle w:val="3"/>
        <w:keepNext w:val="0"/>
        <w:keepLines w:val="0"/>
        <w:spacing w:before="0" w:after="0" w:line="700" w:lineRule="exact"/>
        <w:jc w:val="center"/>
        <w:rPr>
          <w:rFonts w:ascii="方正小标宋_GBK" w:eastAsia="方正小标宋_GBK"/>
          <w:b w:val="0"/>
          <w:bCs w:val="0"/>
        </w:rPr>
      </w:pPr>
      <w:bookmarkStart w:id="208" w:name="_Toc60466355"/>
      <w:r>
        <w:rPr>
          <w:rFonts w:hint="eastAsia" w:ascii="方正小标宋_GBK" w:eastAsia="方正小标宋_GBK" w:cs="方正小标宋_GBK"/>
          <w:b w:val="0"/>
          <w:bCs w:val="0"/>
        </w:rPr>
        <w:t>第十一篇</w:t>
      </w:r>
      <w:r>
        <w:rPr>
          <w:rFonts w:ascii="方正小标宋_GBK" w:eastAsia="方正小标宋_GBK" w:cs="方正小标宋_GBK"/>
          <w:b w:val="0"/>
          <w:bCs w:val="0"/>
        </w:rPr>
        <w:t xml:space="preserve"> </w:t>
      </w:r>
      <w:r>
        <w:rPr>
          <w:rFonts w:hint="eastAsia" w:ascii="方正小标宋_GBK" w:eastAsia="方正小标宋_GBK" w:cs="方正小标宋_GBK"/>
          <w:b w:val="0"/>
          <w:bCs w:val="0"/>
        </w:rPr>
        <w:t>坚持党的全面领导，切实强化实施保障，共促秦淮高质量发展蓝图落地</w:t>
      </w:r>
      <w:bookmarkEnd w:id="208"/>
    </w:p>
    <w:p w14:paraId="650DA48E">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209" w:name="_Toc60466356"/>
      <w:r>
        <w:rPr>
          <w:rFonts w:hint="eastAsia" w:ascii="方正黑体_GBK" w:hAnsi="方正黑体_GBK" w:eastAsia="方正黑体_GBK" w:cs="方正黑体_GBK"/>
          <w:b w:val="0"/>
          <w:bCs w:val="0"/>
        </w:rPr>
        <w:t>第三十八章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坚持党的全面领导</w:t>
      </w:r>
      <w:bookmarkEnd w:id="209"/>
    </w:p>
    <w:p w14:paraId="3C0E209B">
      <w:pPr>
        <w:spacing w:line="590" w:lineRule="exact"/>
        <w:ind w:firstLine="640" w:firstLineChars="200"/>
        <w:rPr>
          <w:rFonts w:ascii="方正仿宋_GBK" w:hAnsi="方正仿宋_GBK" w:eastAsia="方正仿宋_GBK"/>
          <w:sz w:val="32"/>
          <w:szCs w:val="32"/>
        </w:rPr>
      </w:pPr>
      <w:r>
        <w:rPr>
          <w:rFonts w:hint="eastAsia" w:ascii="方正仿宋_GBK" w:hAnsi="方正仿宋_GBK" w:eastAsia="方正仿宋_GBK" w:cs="方正仿宋_GBK"/>
          <w:sz w:val="32"/>
          <w:szCs w:val="32"/>
        </w:rPr>
        <w:t>实现“十四五”规划和二〇三五年远景目标，必须坚持党的全面领导，充分调动一切积极因素，广泛团结一切可以团结的力量，最大限度凝聚起推动发展的强大合力。坚持旗帜鲜明讲政治，推动全区党员深入学习贯彻习近平新时代中国特色社会主义思想，树牢“四个意识”、坚定“四个自信”、坚决做到“两个维护”，在思想上政治上行动上始终同以习近平同志为核心的党中央保持高度一致，确保党中央决策部署不折不扣在秦淮落地生根。落实党委全面从严治党主体责任，提高秦淮党的建设质量。深化党史学习运用，教育引导全区党员干部坚持共产主义远大理想和中国特色社会主义共同理想，不忘初心、牢记使命，为推动各项事业迈上新台阶不懈奋斗。全面贯彻新时代党的组织路线，加强干部队伍建设，落实好干部标准，实施专业化能力提升计划，提高全区各级领导班子和干部适应新时代要求抓改革、促发展、保稳定水平和能力。深化省委“三项机制”运用，加强对敢担当、善作为干部的激励保护，以正确用人导向引领干事创业导向。</w:t>
      </w:r>
    </w:p>
    <w:p w14:paraId="16AB5353">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210" w:name="_Toc60466357"/>
      <w:r>
        <w:rPr>
          <w:rFonts w:hint="eastAsia" w:ascii="方正黑体_GBK" w:hAnsi="方正黑体_GBK" w:eastAsia="方正黑体_GBK" w:cs="方正黑体_GBK"/>
          <w:b w:val="0"/>
          <w:bCs w:val="0"/>
        </w:rPr>
        <w:t>第三十九章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广泛汇聚多方共识</w:t>
      </w:r>
      <w:bookmarkEnd w:id="210"/>
    </w:p>
    <w:p w14:paraId="6B8FCC36">
      <w:pPr>
        <w:spacing w:line="590" w:lineRule="exact"/>
        <w:ind w:firstLine="640" w:firstLineChars="200"/>
        <w:rPr>
          <w:rFonts w:ascii="方正仿宋_GBK" w:hAnsi="方正仿宋_GBK" w:eastAsia="方正仿宋_GBK"/>
          <w:sz w:val="32"/>
          <w:szCs w:val="32"/>
        </w:rPr>
      </w:pPr>
      <w:r>
        <w:rPr>
          <w:rFonts w:hint="eastAsia" w:ascii="方正仿宋_GBK" w:hAnsi="方正仿宋_GBK" w:eastAsia="方正仿宋_GBK" w:cs="方正仿宋_GBK"/>
          <w:sz w:val="32"/>
          <w:szCs w:val="32"/>
        </w:rPr>
        <w:t>鼓励广大人民群众和社会各界广泛参与“十四五”规划编制和实施的全过程，坚持人民至上，紧紧依靠人民，牢牢植根人民，始终践行以人民为中心的发展思想，更好凝聚人民群众智慧和力量，开门问策、集思广益，面对面倾听来自基层的声音，了解群众所思所盼，解决百姓的困难问题。加强人大对“一府一委两院”的监督，确保全区人民依法通过各种途径和形式管理秦淮事务、管理经济文化事业、管理社会事务。坚持和完善中国共产党领导的多党合作和政治协商制度，加强区政协专门协商机构建设，发挥社会主义协商民主独特优势，提高建言资政和凝聚共识水平。注重发挥工会、共青团、妇联等群团组织的作用，不断提高联系服务群众凝聚群众的实效。增强双拥工作的使命感责任感，创新方法手段，提升双拥工作质效。学习贯彻习近平总书记关于加强和改进统一战线工作的重要思想，完善大统战工作格局，巩固和发展大团结大联合局面。充分发挥人才荟萃、智力密集、联系广泛、资源丰富的独特优势，做好民主党派、党外知识分子、民族宗教、非公有制经济、侨台海外、新的社会阶层统战工作，促进政党关系、民族关系、宗教关系、阶层关系、海内外同胞关系和谐。创建“全国民族团结进步示范区”“全国民族团结进步模范集体”，全面贯彻党的民族政策，铸牢中华民族共同体意识。创建全国“五好”县级工商联，发挥红花街道全国“四好”商会示范效应，推动基层商会全面发展，高标准打造新的社会阶层人士统战工作实践创新基地。以最大公约数画好最大同心圆，凝聚最大正能量，奋进新时代，开启新征程。</w:t>
      </w:r>
    </w:p>
    <w:p w14:paraId="40934208">
      <w:pPr>
        <w:pStyle w:val="2"/>
      </w:pPr>
    </w:p>
    <w:p w14:paraId="50F63CE4">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211" w:name="_Toc60466358"/>
      <w:r>
        <w:rPr>
          <w:rFonts w:hint="eastAsia" w:ascii="方正黑体_GBK" w:hAnsi="方正黑体_GBK" w:eastAsia="方正黑体_GBK" w:cs="方正黑体_GBK"/>
          <w:b w:val="0"/>
          <w:bCs w:val="0"/>
        </w:rPr>
        <w:t>第四十章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强化规划落实保障</w:t>
      </w:r>
      <w:bookmarkEnd w:id="211"/>
    </w:p>
    <w:p w14:paraId="19605796">
      <w:pPr>
        <w:spacing w:line="590" w:lineRule="exact"/>
        <w:ind w:firstLine="640" w:firstLineChars="200"/>
        <w:rPr>
          <w:rFonts w:ascii="方正仿宋_GBK" w:hAnsi="方正仿宋_GBK" w:eastAsia="方正仿宋_GBK"/>
          <w:sz w:val="32"/>
          <w:szCs w:val="32"/>
        </w:rPr>
      </w:pPr>
      <w:r>
        <w:rPr>
          <w:rFonts w:hint="eastAsia" w:ascii="方正仿宋_GBK" w:hAnsi="方正仿宋_GBK" w:eastAsia="方正仿宋_GBK" w:cs="方正仿宋_GBK"/>
          <w:sz w:val="32"/>
          <w:szCs w:val="32"/>
        </w:rPr>
        <w:t>建立以规划纲要为统领，与国土空间规划有机融合，专项规划有机衔接支撑的规划体系。加强与国家、省、市上位规划的紧密衔接，加强与“十三五”规划的有机延续，明确各领域的发展目标、重点任务和保障举措，确保规划纲要“一以贯之”，确保“一张蓝图绘到底”。完善规划实施机制，规划纲要提出的发展目标、重点任务和重大项目，将纳入国民经济和社会发展的年度计划按期推进落实，同时分解到相关部门、街道、板块、国有集团公司，确保规划目标任务按序时进度推进落实。加强规划统筹引导，围绕规划纲要提出的目标任务、总体格局、重点任务，加强经济社会发展政策的协调，加强经济社会发展资源的统筹合理调配，集中优势资源实现重点改革领域的突破。</w:t>
      </w:r>
    </w:p>
    <w:p w14:paraId="76E7C820">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212" w:name="_Toc60466359"/>
      <w:r>
        <w:rPr>
          <w:rFonts w:hint="eastAsia" w:ascii="方正黑体_GBK" w:hAnsi="方正黑体_GBK" w:eastAsia="方正黑体_GBK" w:cs="方正黑体_GBK"/>
          <w:b w:val="0"/>
          <w:bCs w:val="0"/>
        </w:rPr>
        <w:t>第四十一章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深化依法治区建设</w:t>
      </w:r>
      <w:bookmarkEnd w:id="212"/>
    </w:p>
    <w:p w14:paraId="3292F82C">
      <w:pPr>
        <w:spacing w:line="590" w:lineRule="exact"/>
        <w:ind w:firstLine="640" w:firstLineChars="200"/>
        <w:rPr>
          <w:rFonts w:ascii="方正仿宋_GBK" w:hAnsi="方正仿宋_GBK" w:eastAsia="方正仿宋_GBK"/>
          <w:sz w:val="32"/>
          <w:szCs w:val="32"/>
        </w:rPr>
      </w:pPr>
      <w:r>
        <w:rPr>
          <w:rFonts w:hint="eastAsia" w:ascii="方正仿宋_GBK" w:hAnsi="方正仿宋_GBK" w:eastAsia="方正仿宋_GBK" w:cs="方正仿宋_GBK"/>
          <w:sz w:val="32"/>
          <w:szCs w:val="32"/>
        </w:rPr>
        <w:t>实施法治秦淮建设五年规划，推进法治秦淮建设，扎实落实党政主要负责人履行推进法治建设第一责任人职责，用法治思维、法治方式促进改革、推动发展、保障和改善民生。以保证民法典有效实施为重要抓手推进法治政府建设，把民法典作为行政决策、行政管理、行政监督的重要标尺，制定落实新一轮法治政府建设方案。进一步简政放权，着力提高社会治理、城区管理质效；深入推进依法行政，严格执行规范性文件制定程序规定；推进行政决策科学民主法治，落实重大行政决策程序要求；深化行政执法体制改革，严格规范执法行为，建立区级综合行政执法新机制，推进景区综合执法；加强行政权力制约监督，落实行政机关负责人出庭应诉工作要求，逐步实行对公共资金、国有资产、国有资源和领导干部履行经济责任审计全覆盖。推进公共法律服务，法律顾问、法律援助、矛盾纠纷多元化解等机制运行更加科学规范，人民群众法治获得感、满意度不断提升。制定并组织实施“八五”普法规划，健全常态化普法宣传机制，提升全民法治观念和法治素养，推进法治文化建设。推进信用体系建设。全面贯彻执行政府信息公开条例，扎实推进公共服务类信息、依法履职类信息、政府预算审计类信息公开开展“红名单”、“黑名单”社会公示，切实推进行政许可和行政处罚事项“</w:t>
      </w:r>
      <w:r>
        <w:rPr>
          <w:rFonts w:ascii="方正仿宋_GBK" w:hAnsi="方正仿宋_GBK" w:eastAsia="方正仿宋_GBK" w:cs="方正仿宋_GBK"/>
          <w:sz w:val="32"/>
          <w:szCs w:val="32"/>
        </w:rPr>
        <w:t>7</w:t>
      </w:r>
      <w:r>
        <w:rPr>
          <w:rFonts w:hint="eastAsia" w:ascii="方正仿宋_GBK" w:hAnsi="方正仿宋_GBK" w:eastAsia="方正仿宋_GBK" w:cs="方正仿宋_GBK"/>
          <w:sz w:val="32"/>
          <w:szCs w:val="32"/>
        </w:rPr>
        <w:t>天双公示”，确保许可和处罚事项在“信用中国”网站及时准确公开。</w:t>
      </w:r>
    </w:p>
    <w:p w14:paraId="2B4E87EB">
      <w:pPr>
        <w:pStyle w:val="4"/>
        <w:keepNext w:val="0"/>
        <w:keepLines w:val="0"/>
        <w:spacing w:beforeLines="100" w:afterLines="100" w:line="540" w:lineRule="exact"/>
        <w:jc w:val="center"/>
        <w:rPr>
          <w:rFonts w:ascii="方正黑体_GBK" w:hAnsi="方正黑体_GBK" w:eastAsia="方正黑体_GBK" w:cs="Times New Roman"/>
          <w:b w:val="0"/>
          <w:bCs w:val="0"/>
        </w:rPr>
      </w:pPr>
      <w:bookmarkStart w:id="213" w:name="_Toc60466360"/>
      <w:r>
        <w:rPr>
          <w:rFonts w:hint="eastAsia" w:ascii="方正黑体_GBK" w:hAnsi="方正黑体_GBK" w:eastAsia="方正黑体_GBK" w:cs="方正黑体_GBK"/>
          <w:b w:val="0"/>
          <w:bCs w:val="0"/>
        </w:rPr>
        <w:t>第四十二章</w:t>
      </w:r>
      <w:r>
        <w:rPr>
          <w:rFonts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rPr>
        <w:t>加强多元要素协同</w:t>
      </w:r>
      <w:bookmarkEnd w:id="213"/>
    </w:p>
    <w:p w14:paraId="60C337A5">
      <w:pPr>
        <w:spacing w:line="590" w:lineRule="exact"/>
        <w:ind w:firstLine="640" w:firstLineChars="200"/>
        <w:rPr>
          <w:rFonts w:ascii="方正仿宋_GBK" w:hAnsi="方正仿宋_GBK" w:eastAsia="方正仿宋_GBK"/>
          <w:sz w:val="32"/>
          <w:szCs w:val="32"/>
        </w:rPr>
      </w:pPr>
      <w:r>
        <w:rPr>
          <w:rFonts w:hint="eastAsia" w:ascii="方正仿宋_GBK" w:hAnsi="方正仿宋_GBK" w:eastAsia="方正仿宋_GBK" w:cs="方正仿宋_GBK"/>
          <w:sz w:val="32"/>
          <w:szCs w:val="32"/>
        </w:rPr>
        <w:t>用好人才资源。坚持党管人才原则，树立人才资源是第一资源理念，统筹人才队伍建设，形成素质优良、结构合理、引领发展的人才集群。建立健全多主体、社会化的人才资源开发机制，营造各类人才近悦远来的良好氛围。完善人才服务体系，优化人才发展环境，全力做好市级人才政策的承接落地和跨前服务。加强项目保障。科学前瞻谋划项目，在科技创新、关键产业、新型基础设施、传统基础设施、文化建设、生态文明、社会民生等领域谋划一批重大项目、重大工程，形成未来发展的项目支撑。加强财政保障。加强财政预算与规划实施的衔接协调，合理安排支出规模和结构。加大资金整合力度，优化资金配置，确保投向关键领域和薄弱环节。加强财政监督管理，最大限度发挥财政资金的使用效益。加强机制统筹。加强规划衔接，细化分解本规划确定的发展目标、主要任务，完善考核体系，确保规划落地。加强规划实施的组织、协调和督导，明确责任主体、实施进度要求，分解明确年度目标、工作指标和推进举措，确保如期完成。加强规划实施过程监督，动员全社会力量参与，引入第三方机构，依法开展阶段性评估，提高规划实施效果。</w:t>
      </w:r>
    </w:p>
    <w:p w14:paraId="70C288D1">
      <w:pPr>
        <w:spacing w:line="520" w:lineRule="exact"/>
        <w:rPr>
          <w:rFonts w:eastAsia="方正仿宋_GBK"/>
          <w:sz w:val="32"/>
          <w:szCs w:val="32"/>
        </w:rPr>
      </w:pPr>
    </w:p>
    <w:sectPr>
      <w:footerReference r:id="rId8" w:type="default"/>
      <w:footerReference r:id="rId9" w:type="even"/>
      <w:pgSz w:w="11906" w:h="16838"/>
      <w:pgMar w:top="2098" w:right="1588" w:bottom="1701" w:left="1588" w:header="851" w:footer="141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黑体_GBK">
    <w:panose1 w:val="02000000000000000000"/>
    <w:charset w:val="86"/>
    <w:family w:val="script"/>
    <w:pitch w:val="default"/>
    <w:sig w:usb0="A00002BF" w:usb1="38CF7CFA" w:usb2="00082016" w:usb3="00000000" w:csb0="00040001" w:csb1="00000000"/>
  </w:font>
  <w:font w:name="方正楷体_GBK">
    <w:panose1 w:val="02000000000000000000"/>
    <w:charset w:val="86"/>
    <w:family w:val="script"/>
    <w:pitch w:val="default"/>
    <w:sig w:usb0="A00002BF" w:usb1="38CF7CFA" w:usb2="00082016" w:usb3="00000000" w:csb0="00040001" w:csb1="00000000"/>
  </w:font>
  <w:font w:name="方正楷体简体">
    <w:panose1 w:val="02010601030101010101"/>
    <w:charset w:val="86"/>
    <w:family w:val="auto"/>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方正书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华文仿宋">
    <w:altName w:val="仿宋"/>
    <w:panose1 w:val="02010600040101010101"/>
    <w:charset w:val="86"/>
    <w:family w:val="auto"/>
    <w:pitch w:val="default"/>
    <w:sig w:usb0="00000000" w:usb1="00000000" w:usb2="00000000" w:usb3="00000000" w:csb0="0004009F" w:csb1="DFD70000"/>
  </w:font>
  <w:font w:name="方正黑体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193F3">
    <w:pPr>
      <w:pStyle w:val="2"/>
      <w:wordWrap w:val="0"/>
      <w:snapToGrid/>
      <w:ind w:left="210" w:leftChars="100" w:right="210" w:rightChars="100"/>
      <w:jc w:val="right"/>
      <w:rPr>
        <w:rFonts w:eastAsia="仿宋_GB2312"/>
        <w:sz w:val="28"/>
        <w:szCs w:val="28"/>
      </w:rPr>
    </w:pPr>
    <w:r>
      <w:rPr>
        <w:rFonts w:eastAsia="仿宋_GB2312"/>
        <w:sz w:val="28"/>
        <w:szCs w:val="28"/>
      </w:rPr>
      <w:t xml:space="preserve">— </w:t>
    </w:r>
    <w:r>
      <w:rPr>
        <w:rFonts w:eastAsia="仿宋_GB2312"/>
        <w:sz w:val="28"/>
        <w:szCs w:val="28"/>
      </w:rPr>
      <w:fldChar w:fldCharType="begin"/>
    </w:r>
    <w:r>
      <w:rPr>
        <w:rFonts w:eastAsia="仿宋_GB2312"/>
        <w:sz w:val="28"/>
        <w:szCs w:val="28"/>
      </w:rPr>
      <w:instrText xml:space="preserve"> PAGE   \* MERGEFORMAT </w:instrText>
    </w:r>
    <w:r>
      <w:rPr>
        <w:rFonts w:eastAsia="仿宋_GB2312"/>
        <w:sz w:val="28"/>
        <w:szCs w:val="28"/>
      </w:rPr>
      <w:fldChar w:fldCharType="separate"/>
    </w:r>
    <w:r>
      <w:rPr>
        <w:rFonts w:eastAsia="仿宋_GB2312"/>
        <w:sz w:val="28"/>
        <w:szCs w:val="28"/>
        <w:lang w:val="zh-CN"/>
      </w:rPr>
      <w:t>1</w:t>
    </w:r>
    <w:r>
      <w:rPr>
        <w:rFonts w:eastAsia="仿宋_GB2312"/>
        <w:sz w:val="28"/>
        <w:szCs w:val="28"/>
      </w:rPr>
      <w:fldChar w:fldCharType="end"/>
    </w:r>
    <w:r>
      <w:rPr>
        <w:rFonts w:eastAsia="仿宋_GB2312"/>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7DB71">
    <w:pPr>
      <w:pStyle w:val="2"/>
      <w:snapToGrid/>
      <w:ind w:left="210" w:leftChars="100" w:right="210" w:rightChars="100"/>
      <w:rPr>
        <w:rFonts w:eastAsia="仿宋_GB2312"/>
        <w:sz w:val="28"/>
        <w:szCs w:val="28"/>
      </w:rPr>
    </w:pPr>
    <w:r>
      <w:rPr>
        <w:rFonts w:eastAsia="仿宋_GB2312"/>
        <w:sz w:val="28"/>
        <w:szCs w:val="28"/>
      </w:rPr>
      <w:t xml:space="preserve">— </w:t>
    </w:r>
    <w:r>
      <w:rPr>
        <w:rFonts w:eastAsia="仿宋_GB2312"/>
        <w:sz w:val="28"/>
        <w:szCs w:val="28"/>
      </w:rPr>
      <w:fldChar w:fldCharType="begin"/>
    </w:r>
    <w:r>
      <w:rPr>
        <w:rFonts w:eastAsia="仿宋_GB2312"/>
        <w:sz w:val="28"/>
        <w:szCs w:val="28"/>
      </w:rPr>
      <w:instrText xml:space="preserve"> PAGE   \* MERGEFORMAT </w:instrText>
    </w:r>
    <w:r>
      <w:rPr>
        <w:rFonts w:eastAsia="仿宋_GB2312"/>
        <w:sz w:val="28"/>
        <w:szCs w:val="28"/>
      </w:rPr>
      <w:fldChar w:fldCharType="separate"/>
    </w:r>
    <w:r>
      <w:rPr>
        <w:rFonts w:eastAsia="仿宋_GB2312"/>
        <w:sz w:val="28"/>
        <w:szCs w:val="28"/>
        <w:lang w:val="zh-CN"/>
      </w:rPr>
      <w:t>8</w:t>
    </w:r>
    <w:r>
      <w:rPr>
        <w:rFonts w:eastAsia="仿宋_GB2312"/>
        <w:sz w:val="28"/>
        <w:szCs w:val="28"/>
      </w:rPr>
      <w:fldChar w:fldCharType="end"/>
    </w:r>
    <w:r>
      <w:rPr>
        <w:rFonts w:eastAsia="仿宋_GB2312"/>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C3F96">
    <w:pPr>
      <w:pStyle w:val="2"/>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FD5138F">
                          <w:pPr>
                            <w:pStyle w:val="4"/>
                            <w:rPr>
                              <w:color w:val="000000"/>
                              <w:sz w:val="28"/>
                              <w:szCs w:val="28"/>
                            </w:rPr>
                          </w:pPr>
                          <w:r>
                            <w:rPr>
                              <w:color w:val="000000"/>
                              <w:sz w:val="28"/>
                              <w:szCs w:val="28"/>
                            </w:rPr>
                            <w:t xml:space="preserve">— </w:t>
                          </w:r>
                          <w:r>
                            <w:rPr>
                              <w:color w:val="000000"/>
                              <w:sz w:val="28"/>
                              <w:szCs w:val="28"/>
                            </w:rPr>
                            <w:fldChar w:fldCharType="begin"/>
                          </w:r>
                          <w:r>
                            <w:rPr>
                              <w:color w:val="000000"/>
                              <w:sz w:val="28"/>
                              <w:szCs w:val="28"/>
                            </w:rPr>
                            <w:instrText xml:space="preserve"> PAGE  \* MERGEFORMAT </w:instrText>
                          </w:r>
                          <w:r>
                            <w:rPr>
                              <w:color w:val="000000"/>
                              <w:sz w:val="28"/>
                              <w:szCs w:val="28"/>
                            </w:rPr>
                            <w:fldChar w:fldCharType="separate"/>
                          </w:r>
                          <w:r>
                            <w:rPr>
                              <w:color w:val="000000"/>
                              <w:sz w:val="28"/>
                              <w:szCs w:val="28"/>
                            </w:rPr>
                            <w:t>9</w:t>
                          </w:r>
                          <w:r>
                            <w:rPr>
                              <w:color w:val="000000"/>
                              <w:sz w:val="28"/>
                              <w:szCs w:val="28"/>
                            </w:rPr>
                            <w:fldChar w:fldCharType="end"/>
                          </w:r>
                          <w:r>
                            <w:rPr>
                              <w:color w:val="000000"/>
                              <w:sz w:val="28"/>
                              <w:szCs w:val="28"/>
                            </w:rPr>
                            <w:t xml:space="preserve"> —</w:t>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CFEnse0QEAAKIDAAAOAAAAAAAAAAEAIAAAAB8BAABk&#10;cnMvZTJvRG9jLnhtbFBLBQYAAAAABgAGAFkBAABiBQAAAAA=&#10;">
              <v:fill on="f" focussize="0,0"/>
              <v:stroke on="f" weight="0.5pt"/>
              <v:imagedata o:title=""/>
              <o:lock v:ext="edit" aspectratio="f"/>
              <v:textbox inset="0mm,0mm,0mm,0mm" style="mso-fit-shape-to-text:t;">
                <w:txbxContent>
                  <w:p w14:paraId="6FD5138F">
                    <w:pPr>
                      <w:pStyle w:val="4"/>
                      <w:rPr>
                        <w:color w:val="000000"/>
                        <w:sz w:val="28"/>
                        <w:szCs w:val="28"/>
                      </w:rPr>
                    </w:pPr>
                    <w:r>
                      <w:rPr>
                        <w:color w:val="000000"/>
                        <w:sz w:val="28"/>
                        <w:szCs w:val="28"/>
                      </w:rPr>
                      <w:t xml:space="preserve">— </w:t>
                    </w:r>
                    <w:r>
                      <w:rPr>
                        <w:color w:val="000000"/>
                        <w:sz w:val="28"/>
                        <w:szCs w:val="28"/>
                      </w:rPr>
                      <w:fldChar w:fldCharType="begin"/>
                    </w:r>
                    <w:r>
                      <w:rPr>
                        <w:color w:val="000000"/>
                        <w:sz w:val="28"/>
                        <w:szCs w:val="28"/>
                      </w:rPr>
                      <w:instrText xml:space="preserve"> PAGE  \* MERGEFORMAT </w:instrText>
                    </w:r>
                    <w:r>
                      <w:rPr>
                        <w:color w:val="000000"/>
                        <w:sz w:val="28"/>
                        <w:szCs w:val="28"/>
                      </w:rPr>
                      <w:fldChar w:fldCharType="separate"/>
                    </w:r>
                    <w:r>
                      <w:rPr>
                        <w:color w:val="000000"/>
                        <w:sz w:val="28"/>
                        <w:szCs w:val="28"/>
                      </w:rPr>
                      <w:t>9</w:t>
                    </w:r>
                    <w:r>
                      <w:rPr>
                        <w:color w:val="000000"/>
                        <w:sz w:val="28"/>
                        <w:szCs w:val="28"/>
                      </w:rPr>
                      <w:fldChar w:fldCharType="end"/>
                    </w:r>
                    <w:r>
                      <w:rPr>
                        <w:color w:val="000000"/>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DBA56">
    <w:pPr>
      <w:pStyle w:val="2"/>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2" descr="7b0a20202020227461726765744d6f64756c65223a20226b6f6e6c696e6574657874626f78220a7d0a"/>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6CC07BC">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wrap="none" lIns="0" tIns="0" rIns="0" bIns="0" upright="1">
                      <a:spAutoFit/>
                    </wps:bodyPr>
                  </wps:wsp>
                </a:graphicData>
              </a:graphic>
            </wp:anchor>
          </w:drawing>
        </mc:Choice>
        <mc:Fallback>
          <w:pict>
            <v:shape id="文本框 2" o:spid="_x0000_s1026" o:spt="202" alt="7b0a20202020227461726765744d6f64756c65223a20226b6f6e6c696e6574657874626f78220a7d0a"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BEULAiEAIAAP0DAAAOAAAAAAAAAAEAIAAA&#10;AB8BAABkcnMvZTJvRG9jLnhtbFBLBQYAAAAABgAGAFkBAAChBQAAAAA=&#10;">
              <v:fill on="f" focussize="0,0"/>
              <v:stroke on="f" weight="0.5pt"/>
              <v:imagedata o:title=""/>
              <o:lock v:ext="edit" aspectratio="f"/>
              <v:textbox inset="0mm,0mm,0mm,0mm" style="mso-fit-shape-to-text:t;">
                <w:txbxContent>
                  <w:p w14:paraId="56CC07BC">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6A635">
    <w:pPr>
      <w:pStyle w:val="2"/>
      <w:jc w:val="cente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3DC72AA">
                          <w:pPr>
                            <w:pStyle w:val="4"/>
                            <w:rPr>
                              <w:color w:val="000000"/>
                              <w:sz w:val="28"/>
                              <w:szCs w:val="28"/>
                            </w:rPr>
                          </w:pPr>
                          <w:r>
                            <w:rPr>
                              <w:color w:val="000000"/>
                              <w:sz w:val="28"/>
                              <w:szCs w:val="28"/>
                            </w:rPr>
                            <w:t xml:space="preserve">— </w:t>
                          </w:r>
                          <w:r>
                            <w:rPr>
                              <w:color w:val="000000"/>
                              <w:sz w:val="28"/>
                              <w:szCs w:val="28"/>
                            </w:rPr>
                            <w:fldChar w:fldCharType="begin"/>
                          </w:r>
                          <w:r>
                            <w:rPr>
                              <w:color w:val="000000"/>
                              <w:sz w:val="28"/>
                              <w:szCs w:val="28"/>
                            </w:rPr>
                            <w:instrText xml:space="preserve"> PAGE  \* MERGEFORMAT </w:instrText>
                          </w:r>
                          <w:r>
                            <w:rPr>
                              <w:color w:val="000000"/>
                              <w:sz w:val="28"/>
                              <w:szCs w:val="28"/>
                            </w:rPr>
                            <w:fldChar w:fldCharType="separate"/>
                          </w:r>
                          <w:r>
                            <w:rPr>
                              <w:color w:val="000000"/>
                              <w:sz w:val="28"/>
                              <w:szCs w:val="28"/>
                            </w:rPr>
                            <w:t>117</w:t>
                          </w:r>
                          <w:r>
                            <w:rPr>
                              <w:color w:val="000000"/>
                              <w:sz w:val="28"/>
                              <w:szCs w:val="28"/>
                            </w:rPr>
                            <w:fldChar w:fldCharType="end"/>
                          </w:r>
                          <w:r>
                            <w:rPr>
                              <w:color w:val="000000"/>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Dn9ETe0QEAAKIDAAAOAAAAAAAAAAEAIAAAAB8BAABk&#10;cnMvZTJvRG9jLnhtbFBLBQYAAAAABgAGAFkBAABiBQAAAAA=&#10;">
              <v:fill on="f" focussize="0,0"/>
              <v:stroke on="f" weight="0.5pt"/>
              <v:imagedata o:title=""/>
              <o:lock v:ext="edit" aspectratio="f"/>
              <v:textbox inset="0mm,0mm,0mm,0mm" style="mso-fit-shape-to-text:t;">
                <w:txbxContent>
                  <w:p w14:paraId="03DC72AA">
                    <w:pPr>
                      <w:pStyle w:val="4"/>
                      <w:rPr>
                        <w:color w:val="000000"/>
                        <w:sz w:val="28"/>
                        <w:szCs w:val="28"/>
                      </w:rPr>
                    </w:pPr>
                    <w:r>
                      <w:rPr>
                        <w:color w:val="000000"/>
                        <w:sz w:val="28"/>
                        <w:szCs w:val="28"/>
                      </w:rPr>
                      <w:t xml:space="preserve">— </w:t>
                    </w:r>
                    <w:r>
                      <w:rPr>
                        <w:color w:val="000000"/>
                        <w:sz w:val="28"/>
                        <w:szCs w:val="28"/>
                      </w:rPr>
                      <w:fldChar w:fldCharType="begin"/>
                    </w:r>
                    <w:r>
                      <w:rPr>
                        <w:color w:val="000000"/>
                        <w:sz w:val="28"/>
                        <w:szCs w:val="28"/>
                      </w:rPr>
                      <w:instrText xml:space="preserve"> PAGE  \* MERGEFORMAT </w:instrText>
                    </w:r>
                    <w:r>
                      <w:rPr>
                        <w:color w:val="000000"/>
                        <w:sz w:val="28"/>
                        <w:szCs w:val="28"/>
                      </w:rPr>
                      <w:fldChar w:fldCharType="separate"/>
                    </w:r>
                    <w:r>
                      <w:rPr>
                        <w:color w:val="000000"/>
                        <w:sz w:val="28"/>
                        <w:szCs w:val="28"/>
                      </w:rPr>
                      <w:t>117</w:t>
                    </w:r>
                    <w:r>
                      <w:rPr>
                        <w:color w:val="000000"/>
                        <w:sz w:val="28"/>
                        <w:szCs w:val="28"/>
                      </w:rPr>
                      <w:fldChar w:fldCharType="end"/>
                    </w:r>
                    <w:r>
                      <w:rPr>
                        <w:color w:val="000000"/>
                        <w:sz w:val="28"/>
                        <w:szCs w:val="28"/>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28301">
    <w:pPr>
      <w:pStyle w:val="2"/>
      <w:snapToGrid/>
      <w:ind w:left="210" w:leftChars="100" w:right="210" w:rightChars="100"/>
      <w:rPr>
        <w:rFonts w:eastAsia="仿宋_GB2312"/>
        <w:sz w:val="28"/>
        <w:szCs w:val="28"/>
      </w:rPr>
    </w:pPr>
    <w:r>
      <w:rPr>
        <w:rFonts w:eastAsia="仿宋_GB2312"/>
        <w:sz w:val="28"/>
        <w:szCs w:val="28"/>
      </w:rPr>
      <w:t xml:space="preserve">— </w:t>
    </w:r>
    <w:r>
      <w:rPr>
        <w:rFonts w:eastAsia="仿宋_GB2312"/>
        <w:sz w:val="28"/>
        <w:szCs w:val="28"/>
      </w:rPr>
      <w:fldChar w:fldCharType="begin"/>
    </w:r>
    <w:r>
      <w:rPr>
        <w:rFonts w:eastAsia="仿宋_GB2312"/>
        <w:sz w:val="28"/>
        <w:szCs w:val="28"/>
      </w:rPr>
      <w:instrText xml:space="preserve"> PAGE   \* MERGEFORMAT </w:instrText>
    </w:r>
    <w:r>
      <w:rPr>
        <w:rFonts w:eastAsia="仿宋_GB2312"/>
        <w:sz w:val="28"/>
        <w:szCs w:val="28"/>
      </w:rPr>
      <w:fldChar w:fldCharType="separate"/>
    </w:r>
    <w:r>
      <w:rPr>
        <w:rFonts w:eastAsia="仿宋_GB2312"/>
        <w:sz w:val="28"/>
        <w:szCs w:val="28"/>
        <w:lang w:val="zh-CN"/>
      </w:rPr>
      <w:t>118</w:t>
    </w:r>
    <w:r>
      <w:rPr>
        <w:rFonts w:eastAsia="仿宋_GB2312"/>
        <w:sz w:val="28"/>
        <w:szCs w:val="28"/>
      </w:rPr>
      <w:fldChar w:fldCharType="end"/>
    </w:r>
    <w:r>
      <w:rPr>
        <w:rFonts w:eastAsia="仿宋_GB2312"/>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r>
        <w:separator/>
      </w:r>
    </w:p>
  </w:footnote>
  <w:footnote w:type="continuationSeparator" w:id="9">
    <w:p>
      <w:r>
        <w:continuationSeparator/>
      </w:r>
    </w:p>
  </w:footnote>
  <w:footnote w:id="0">
    <w:p w14:paraId="17813586">
      <w:pPr>
        <w:pStyle w:val="10"/>
      </w:pPr>
      <w:r>
        <w:footnoteRef/>
      </w:r>
      <w:r>
        <w:rPr>
          <w:rFonts w:hint="eastAsia" w:cs="宋体"/>
        </w:rPr>
        <w:t>、全社会研发经费支出占地区生产总值比重、人均体育活动场地面积、绿化覆盖率、非工业企业碳排放控制目标完成率等</w:t>
      </w:r>
      <w:r>
        <w:t>4</w:t>
      </w:r>
      <w:r>
        <w:rPr>
          <w:rFonts w:hint="eastAsia" w:cs="宋体"/>
        </w:rPr>
        <w:t>项指标已不列入省、市对区考核统计</w:t>
      </w:r>
    </w:p>
    <w:p w14:paraId="2A359E83">
      <w:pPr>
        <w:pStyle w:val="10"/>
      </w:pPr>
      <w:r>
        <w:t>2</w:t>
      </w:r>
      <w:r>
        <w:rPr>
          <w:rFonts w:hint="eastAsia" w:cs="宋体"/>
        </w:rPr>
        <w:t>、千名老人拥有养老床位数指标市目标已从</w:t>
      </w:r>
      <w:r>
        <w:t>50%</w:t>
      </w:r>
      <w:r>
        <w:rPr>
          <w:rFonts w:hint="eastAsia" w:cs="宋体"/>
        </w:rPr>
        <w:t>调低为</w:t>
      </w:r>
      <w:r>
        <w:t>45%</w:t>
      </w:r>
    </w:p>
    <w:p w14:paraId="4C9CF768">
      <w:pPr>
        <w:pStyle w:val="10"/>
      </w:pPr>
      <w:r>
        <w:t>3</w:t>
      </w:r>
      <w:r>
        <w:rPr>
          <w:rFonts w:hint="eastAsia" w:cs="宋体"/>
        </w:rPr>
        <w:t>、公众安全感是省上半年测评情况</w:t>
      </w:r>
    </w:p>
    <w:p w14:paraId="34879E82">
      <w:pPr>
        <w:pStyle w:val="10"/>
      </w:pPr>
      <w:r>
        <w:t>4</w:t>
      </w:r>
      <w:r>
        <w:rPr>
          <w:rFonts w:hint="eastAsia" w:cs="宋体"/>
        </w:rPr>
        <w:t>、区域内常住人口指标将根据第七次人口普查数据进行调整</w:t>
      </w:r>
    </w:p>
  </w:footnote>
  <w:footnote w:id="1">
    <w:p w14:paraId="70017150">
      <w:pPr>
        <w:pStyle w:val="10"/>
      </w:pPr>
      <w:r>
        <w:rPr>
          <w:rStyle w:val="16"/>
        </w:rPr>
        <w:footnoteRef/>
      </w:r>
      <w:r>
        <w:rPr>
          <w:rFonts w:hint="eastAsia" w:cs="宋体"/>
        </w:rPr>
        <w:t>高新技术企业数、科技型中小企业数、领军人才数、</w:t>
      </w:r>
      <w:r>
        <w:t>PCT</w:t>
      </w:r>
      <w:r>
        <w:rPr>
          <w:rFonts w:hint="eastAsia" w:cs="宋体"/>
        </w:rPr>
        <w:t>国际发明专利申请实现倍增；高新技术产业产值占规上工业比重、全社会研发经费占</w:t>
      </w:r>
      <w:r>
        <w:t>GDP</w:t>
      </w:r>
      <w:r>
        <w:rPr>
          <w:rFonts w:hint="eastAsia" w:cs="宋体"/>
        </w:rPr>
        <w:t>比重、白下高新区对全区经济贡献度、新型研发机构数量实现较大提升</w:t>
      </w:r>
    </w:p>
  </w:footnote>
  <w:footnote w:id="2">
    <w:p w14:paraId="7B3FDB7F">
      <w:pPr>
        <w:pStyle w:val="10"/>
      </w:pPr>
      <w:r>
        <w:rPr>
          <w:rStyle w:val="16"/>
        </w:rPr>
        <w:footnoteRef/>
      </w:r>
      <w:r>
        <w:rPr>
          <w:rFonts w:hint="eastAsia" w:cs="宋体"/>
        </w:rPr>
        <w:t>具体指标和</w:t>
      </w:r>
      <w:r>
        <w:t>2025</w:t>
      </w:r>
      <w:r>
        <w:rPr>
          <w:rFonts w:hint="eastAsia" w:cs="宋体"/>
        </w:rPr>
        <w:t>年预计完成目标以南京市“十四五”规划确定的指标体系下达区目标为准进行调整</w:t>
      </w:r>
    </w:p>
  </w:footnote>
  <w:footnote w:id="3">
    <w:p w14:paraId="7DE4C2CA">
      <w:pPr>
        <w:pStyle w:val="10"/>
      </w:pPr>
      <w:r>
        <w:rPr>
          <w:rStyle w:val="16"/>
        </w:rPr>
        <w:footnoteRef/>
      </w:r>
      <w:r>
        <w:rPr>
          <w:rFonts w:hint="eastAsia" w:cs="宋体"/>
        </w:rPr>
        <w:t>义务教育优质均衡比例监测评价体系中共</w:t>
      </w:r>
      <w:r>
        <w:t>32</w:t>
      </w:r>
      <w:r>
        <w:rPr>
          <w:rFonts w:hint="eastAsia" w:cs="宋体"/>
        </w:rPr>
        <w:t>项，预计到</w:t>
      </w:r>
      <w:r>
        <w:t>2025</w:t>
      </w:r>
      <w:r>
        <w:rPr>
          <w:rFonts w:hint="eastAsia" w:cs="宋体"/>
        </w:rPr>
        <w:t>年完成</w:t>
      </w:r>
      <w:r>
        <w:t>30</w:t>
      </w:r>
      <w:r>
        <w:rPr>
          <w:rFonts w:hint="eastAsia" w:cs="宋体"/>
        </w:rPr>
        <w:t>项，完成比例</w:t>
      </w:r>
      <w:r>
        <w:t>93.7%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42EB4A"/>
    <w:multiLevelType w:val="singleLevel"/>
    <w:tmpl w:val="0F42EB4A"/>
    <w:lvl w:ilvl="0" w:tentative="0">
      <w:start w:val="1"/>
      <w:numFmt w:val="decimal"/>
      <w:suff w:val="nothing"/>
      <w:lvlText w:val="%1、"/>
      <w:lvlJc w:val="left"/>
    </w:lvl>
  </w:abstractNum>
  <w:abstractNum w:abstractNumId="1">
    <w:nsid w:val="74F22B64"/>
    <w:multiLevelType w:val="multilevel"/>
    <w:tmpl w:val="74F22B64"/>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evenAndOddHeaders w:val="1"/>
  <w:drawingGridHorizontalSpacing w:val="105"/>
  <w:drawingGridVerticalSpacing w:val="156"/>
  <w:noPunctuationKerning w:val="1"/>
  <w:characterSpacingControl w:val="compressPunctuation"/>
  <w:noLineBreaksAfter w:lang="zh-CN" w:val="$([{£¥·‘“〈《「『【〔〖〝﹙﹛﹝＄（．［｛￡￥"/>
  <w:noLineBreaksBefore w:lang="zh-CN" w:val="!%),.:;&gt;?]}¢¨°·ˇˉ―‖’”…‰′″›℃∶、。〃〉》」』】〕〗〞︶︺︾﹀﹄﹚﹜﹞！＂％＇），．：；？］｀｜｝～￠"/>
  <w:doNotValidateAgainstSchema/>
  <w:doNotDemarcateInvalidXml/>
  <w:hdrShapeDefaults>
    <o:shapelayout v:ext="edit">
      <o:idmap v:ext="edit" data="2"/>
    </o:shapelayout>
  </w:hdrShapeDefaults>
  <w:footnotePr>
    <w:numRestart w:val="eachPage"/>
    <w:footnote w:id="8"/>
    <w:footnote w:id="9"/>
  </w:foot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dkNzViNTVkZTZkNjRmMDAyODY2YjAxODQ3ZGNkNjIifQ=="/>
  </w:docVars>
  <w:rsids>
    <w:rsidRoot w:val="00455E67"/>
    <w:rsid w:val="000224C4"/>
    <w:rsid w:val="00091572"/>
    <w:rsid w:val="000A6B75"/>
    <w:rsid w:val="00123475"/>
    <w:rsid w:val="00147091"/>
    <w:rsid w:val="001479E3"/>
    <w:rsid w:val="001858FD"/>
    <w:rsid w:val="001B22D8"/>
    <w:rsid w:val="00246F19"/>
    <w:rsid w:val="00313492"/>
    <w:rsid w:val="003807F2"/>
    <w:rsid w:val="003A4512"/>
    <w:rsid w:val="003B25B9"/>
    <w:rsid w:val="003B6C03"/>
    <w:rsid w:val="00455E67"/>
    <w:rsid w:val="00475D82"/>
    <w:rsid w:val="004A1EF2"/>
    <w:rsid w:val="004D4B7C"/>
    <w:rsid w:val="00545BFF"/>
    <w:rsid w:val="00563BA3"/>
    <w:rsid w:val="005712E2"/>
    <w:rsid w:val="005A71B7"/>
    <w:rsid w:val="00665AD5"/>
    <w:rsid w:val="00672492"/>
    <w:rsid w:val="00676143"/>
    <w:rsid w:val="006F3AC6"/>
    <w:rsid w:val="007C39F9"/>
    <w:rsid w:val="007F111D"/>
    <w:rsid w:val="00880F4E"/>
    <w:rsid w:val="0089541E"/>
    <w:rsid w:val="008A38AB"/>
    <w:rsid w:val="008E0F64"/>
    <w:rsid w:val="00984DE4"/>
    <w:rsid w:val="009A1B5F"/>
    <w:rsid w:val="009D6752"/>
    <w:rsid w:val="00A17A00"/>
    <w:rsid w:val="00A87625"/>
    <w:rsid w:val="00AF29A0"/>
    <w:rsid w:val="00B509AE"/>
    <w:rsid w:val="00B52F17"/>
    <w:rsid w:val="00B76355"/>
    <w:rsid w:val="00BD741D"/>
    <w:rsid w:val="00BE2AA6"/>
    <w:rsid w:val="00C07995"/>
    <w:rsid w:val="00C20F1E"/>
    <w:rsid w:val="00C76A10"/>
    <w:rsid w:val="00D478F9"/>
    <w:rsid w:val="00D646F8"/>
    <w:rsid w:val="00D94D2C"/>
    <w:rsid w:val="00DB3990"/>
    <w:rsid w:val="00DD5A1D"/>
    <w:rsid w:val="00E04B68"/>
    <w:rsid w:val="00F6779C"/>
    <w:rsid w:val="012632B5"/>
    <w:rsid w:val="018B2691"/>
    <w:rsid w:val="01DB4192"/>
    <w:rsid w:val="022157FB"/>
    <w:rsid w:val="025958BC"/>
    <w:rsid w:val="02693BFA"/>
    <w:rsid w:val="030A3AE7"/>
    <w:rsid w:val="043D74CA"/>
    <w:rsid w:val="04616737"/>
    <w:rsid w:val="04E0578C"/>
    <w:rsid w:val="05833747"/>
    <w:rsid w:val="058D613F"/>
    <w:rsid w:val="05DA1372"/>
    <w:rsid w:val="065378EF"/>
    <w:rsid w:val="066314C5"/>
    <w:rsid w:val="066F04FF"/>
    <w:rsid w:val="06A7118F"/>
    <w:rsid w:val="06C30199"/>
    <w:rsid w:val="06CD103D"/>
    <w:rsid w:val="06E33973"/>
    <w:rsid w:val="07B51F3A"/>
    <w:rsid w:val="08064369"/>
    <w:rsid w:val="08A86AA2"/>
    <w:rsid w:val="09355551"/>
    <w:rsid w:val="0A1E298E"/>
    <w:rsid w:val="0A2E6FCB"/>
    <w:rsid w:val="0A84220F"/>
    <w:rsid w:val="0B140595"/>
    <w:rsid w:val="0B5C4880"/>
    <w:rsid w:val="0BD813AE"/>
    <w:rsid w:val="0C0F2DF3"/>
    <w:rsid w:val="0C6B7AD3"/>
    <w:rsid w:val="0C7B77BA"/>
    <w:rsid w:val="0D215440"/>
    <w:rsid w:val="0D7F19CE"/>
    <w:rsid w:val="0E134242"/>
    <w:rsid w:val="0E260560"/>
    <w:rsid w:val="0E3B10D7"/>
    <w:rsid w:val="0E992CAE"/>
    <w:rsid w:val="0EC51122"/>
    <w:rsid w:val="0F0D6566"/>
    <w:rsid w:val="0F2F71F1"/>
    <w:rsid w:val="0F4366A5"/>
    <w:rsid w:val="0F62049C"/>
    <w:rsid w:val="0F7D78B9"/>
    <w:rsid w:val="102D357E"/>
    <w:rsid w:val="10624EDA"/>
    <w:rsid w:val="10B94364"/>
    <w:rsid w:val="10F9031B"/>
    <w:rsid w:val="11164B7C"/>
    <w:rsid w:val="111F6FB3"/>
    <w:rsid w:val="11432903"/>
    <w:rsid w:val="115D70BD"/>
    <w:rsid w:val="11631F92"/>
    <w:rsid w:val="11937CAB"/>
    <w:rsid w:val="11C02E7F"/>
    <w:rsid w:val="11EE406D"/>
    <w:rsid w:val="123F13AE"/>
    <w:rsid w:val="128B1451"/>
    <w:rsid w:val="12B6393D"/>
    <w:rsid w:val="1322610D"/>
    <w:rsid w:val="134624F5"/>
    <w:rsid w:val="13B81544"/>
    <w:rsid w:val="144B605A"/>
    <w:rsid w:val="14743D98"/>
    <w:rsid w:val="15920BE2"/>
    <w:rsid w:val="15C80372"/>
    <w:rsid w:val="166D3443"/>
    <w:rsid w:val="16AB1242"/>
    <w:rsid w:val="16D832EB"/>
    <w:rsid w:val="16DB02C5"/>
    <w:rsid w:val="170521AD"/>
    <w:rsid w:val="172617DB"/>
    <w:rsid w:val="179E26ED"/>
    <w:rsid w:val="17E637EE"/>
    <w:rsid w:val="18244EA8"/>
    <w:rsid w:val="18296E78"/>
    <w:rsid w:val="189B51E1"/>
    <w:rsid w:val="18B923D9"/>
    <w:rsid w:val="18C0525E"/>
    <w:rsid w:val="191C7ED6"/>
    <w:rsid w:val="1A2F2E22"/>
    <w:rsid w:val="1B090A77"/>
    <w:rsid w:val="1B5F0404"/>
    <w:rsid w:val="1B6C3DFB"/>
    <w:rsid w:val="1B9967D7"/>
    <w:rsid w:val="1BD246CD"/>
    <w:rsid w:val="1C490D01"/>
    <w:rsid w:val="1C735615"/>
    <w:rsid w:val="1C7475D5"/>
    <w:rsid w:val="1C9B1907"/>
    <w:rsid w:val="1D0806B5"/>
    <w:rsid w:val="1D2A5F38"/>
    <w:rsid w:val="1D4A7E0D"/>
    <w:rsid w:val="1D957D8C"/>
    <w:rsid w:val="1DCB38B2"/>
    <w:rsid w:val="1DD34EDA"/>
    <w:rsid w:val="1DDA63DD"/>
    <w:rsid w:val="1DDE6AF4"/>
    <w:rsid w:val="1E4D565E"/>
    <w:rsid w:val="1E815CF5"/>
    <w:rsid w:val="1E8D0857"/>
    <w:rsid w:val="1F02592F"/>
    <w:rsid w:val="1F3F6D86"/>
    <w:rsid w:val="1F807FF0"/>
    <w:rsid w:val="20602AFE"/>
    <w:rsid w:val="20870AE7"/>
    <w:rsid w:val="20D779DC"/>
    <w:rsid w:val="20F04595"/>
    <w:rsid w:val="213F7F42"/>
    <w:rsid w:val="21A77E4F"/>
    <w:rsid w:val="21BF53FA"/>
    <w:rsid w:val="21CA3A42"/>
    <w:rsid w:val="221D6F1E"/>
    <w:rsid w:val="227E4683"/>
    <w:rsid w:val="23D87170"/>
    <w:rsid w:val="23E57872"/>
    <w:rsid w:val="241B0433"/>
    <w:rsid w:val="24222233"/>
    <w:rsid w:val="24231DBE"/>
    <w:rsid w:val="24437E35"/>
    <w:rsid w:val="249A3A2B"/>
    <w:rsid w:val="250220B7"/>
    <w:rsid w:val="25225290"/>
    <w:rsid w:val="25B350FC"/>
    <w:rsid w:val="260612CE"/>
    <w:rsid w:val="2622795A"/>
    <w:rsid w:val="26903D9D"/>
    <w:rsid w:val="26AC797D"/>
    <w:rsid w:val="272E6D0C"/>
    <w:rsid w:val="2758571C"/>
    <w:rsid w:val="275F241F"/>
    <w:rsid w:val="27C42141"/>
    <w:rsid w:val="27DA2E6A"/>
    <w:rsid w:val="27ED2D78"/>
    <w:rsid w:val="284E5982"/>
    <w:rsid w:val="28903497"/>
    <w:rsid w:val="292710BF"/>
    <w:rsid w:val="294919E4"/>
    <w:rsid w:val="29611131"/>
    <w:rsid w:val="29781CB0"/>
    <w:rsid w:val="29C114FE"/>
    <w:rsid w:val="2A184E1C"/>
    <w:rsid w:val="2A4A36F7"/>
    <w:rsid w:val="2A5E427A"/>
    <w:rsid w:val="2AA32587"/>
    <w:rsid w:val="2AAA58BA"/>
    <w:rsid w:val="2B27480F"/>
    <w:rsid w:val="2B3D284B"/>
    <w:rsid w:val="2B415EEB"/>
    <w:rsid w:val="2B6733B5"/>
    <w:rsid w:val="2BDB4209"/>
    <w:rsid w:val="2C145584"/>
    <w:rsid w:val="2C1C0EF4"/>
    <w:rsid w:val="2C243FAC"/>
    <w:rsid w:val="2C2A65AE"/>
    <w:rsid w:val="2C607F68"/>
    <w:rsid w:val="2C83432D"/>
    <w:rsid w:val="2CA334AB"/>
    <w:rsid w:val="2CB90C45"/>
    <w:rsid w:val="2CCB18BB"/>
    <w:rsid w:val="2D473C8C"/>
    <w:rsid w:val="2D7E328C"/>
    <w:rsid w:val="2DB039D4"/>
    <w:rsid w:val="2DC1057E"/>
    <w:rsid w:val="2E40101F"/>
    <w:rsid w:val="2E8A2B1C"/>
    <w:rsid w:val="2EB13BA2"/>
    <w:rsid w:val="303F45B1"/>
    <w:rsid w:val="304841DA"/>
    <w:rsid w:val="30966E65"/>
    <w:rsid w:val="30AB0558"/>
    <w:rsid w:val="30D1488D"/>
    <w:rsid w:val="30F3527E"/>
    <w:rsid w:val="31887D29"/>
    <w:rsid w:val="32432E67"/>
    <w:rsid w:val="324D6546"/>
    <w:rsid w:val="32882784"/>
    <w:rsid w:val="329164DA"/>
    <w:rsid w:val="32B4328B"/>
    <w:rsid w:val="32B932CF"/>
    <w:rsid w:val="330753A3"/>
    <w:rsid w:val="33225155"/>
    <w:rsid w:val="333147B3"/>
    <w:rsid w:val="333A26E5"/>
    <w:rsid w:val="33546005"/>
    <w:rsid w:val="335C6F11"/>
    <w:rsid w:val="338403C9"/>
    <w:rsid w:val="33F36130"/>
    <w:rsid w:val="34867068"/>
    <w:rsid w:val="34D12CF4"/>
    <w:rsid w:val="356D494B"/>
    <w:rsid w:val="358F1351"/>
    <w:rsid w:val="35BD7DBE"/>
    <w:rsid w:val="360A15F2"/>
    <w:rsid w:val="361F67DD"/>
    <w:rsid w:val="37033A1C"/>
    <w:rsid w:val="37224487"/>
    <w:rsid w:val="375121F2"/>
    <w:rsid w:val="3760369A"/>
    <w:rsid w:val="37811C48"/>
    <w:rsid w:val="37AE766C"/>
    <w:rsid w:val="38110367"/>
    <w:rsid w:val="39372BB1"/>
    <w:rsid w:val="39BD26A1"/>
    <w:rsid w:val="39D72EB8"/>
    <w:rsid w:val="3A0C41EA"/>
    <w:rsid w:val="3A775934"/>
    <w:rsid w:val="3A835885"/>
    <w:rsid w:val="3AEA1BB9"/>
    <w:rsid w:val="3BE42C45"/>
    <w:rsid w:val="3C3B2F7E"/>
    <w:rsid w:val="3CB824A1"/>
    <w:rsid w:val="3CC10A47"/>
    <w:rsid w:val="3D24541B"/>
    <w:rsid w:val="3D33109D"/>
    <w:rsid w:val="3D391F3B"/>
    <w:rsid w:val="3D465FD8"/>
    <w:rsid w:val="3D4F67EC"/>
    <w:rsid w:val="3D6372BD"/>
    <w:rsid w:val="3DD164E6"/>
    <w:rsid w:val="3DE641F4"/>
    <w:rsid w:val="3EEF3108"/>
    <w:rsid w:val="3F100B1A"/>
    <w:rsid w:val="3F3344AA"/>
    <w:rsid w:val="3FA64FDD"/>
    <w:rsid w:val="3FBC50F9"/>
    <w:rsid w:val="3FC81F07"/>
    <w:rsid w:val="3FF372A6"/>
    <w:rsid w:val="3FF410BD"/>
    <w:rsid w:val="3FFD4D91"/>
    <w:rsid w:val="40076EA7"/>
    <w:rsid w:val="40326E7F"/>
    <w:rsid w:val="40600E1B"/>
    <w:rsid w:val="4081462D"/>
    <w:rsid w:val="40C7186B"/>
    <w:rsid w:val="42881F23"/>
    <w:rsid w:val="42E6035E"/>
    <w:rsid w:val="437C1DC2"/>
    <w:rsid w:val="43D42221"/>
    <w:rsid w:val="43E430A1"/>
    <w:rsid w:val="44551243"/>
    <w:rsid w:val="44A90149"/>
    <w:rsid w:val="44AE4D99"/>
    <w:rsid w:val="44EC412F"/>
    <w:rsid w:val="44EC7AD4"/>
    <w:rsid w:val="44FC367A"/>
    <w:rsid w:val="453263A3"/>
    <w:rsid w:val="45852DF2"/>
    <w:rsid w:val="45C621AE"/>
    <w:rsid w:val="45CF70CA"/>
    <w:rsid w:val="45DA6F1C"/>
    <w:rsid w:val="460F5416"/>
    <w:rsid w:val="461703D3"/>
    <w:rsid w:val="473E34CA"/>
    <w:rsid w:val="4789358D"/>
    <w:rsid w:val="48690B76"/>
    <w:rsid w:val="48C07666"/>
    <w:rsid w:val="49013565"/>
    <w:rsid w:val="49622B9B"/>
    <w:rsid w:val="497054E8"/>
    <w:rsid w:val="49D817A8"/>
    <w:rsid w:val="49FA1B56"/>
    <w:rsid w:val="4A0B5348"/>
    <w:rsid w:val="4A1079C8"/>
    <w:rsid w:val="4A7478D9"/>
    <w:rsid w:val="4C2849A5"/>
    <w:rsid w:val="4C580336"/>
    <w:rsid w:val="4C7A40C1"/>
    <w:rsid w:val="4D490EE4"/>
    <w:rsid w:val="4D51177B"/>
    <w:rsid w:val="4D6D3F0E"/>
    <w:rsid w:val="4E0F39B9"/>
    <w:rsid w:val="4E2D1A35"/>
    <w:rsid w:val="4E727887"/>
    <w:rsid w:val="4EA65ADB"/>
    <w:rsid w:val="4EAC393B"/>
    <w:rsid w:val="4EE20771"/>
    <w:rsid w:val="4F4638CD"/>
    <w:rsid w:val="4F711FB6"/>
    <w:rsid w:val="4F75171A"/>
    <w:rsid w:val="4F9B7889"/>
    <w:rsid w:val="4FC37881"/>
    <w:rsid w:val="4FCD1F36"/>
    <w:rsid w:val="4FF25FDF"/>
    <w:rsid w:val="504C5F97"/>
    <w:rsid w:val="50B54347"/>
    <w:rsid w:val="514540D4"/>
    <w:rsid w:val="518D4B03"/>
    <w:rsid w:val="51972FAD"/>
    <w:rsid w:val="51A55B0D"/>
    <w:rsid w:val="51E50EE8"/>
    <w:rsid w:val="52532A60"/>
    <w:rsid w:val="52684B06"/>
    <w:rsid w:val="52BA1BA0"/>
    <w:rsid w:val="5315791F"/>
    <w:rsid w:val="541A7D9C"/>
    <w:rsid w:val="5426380E"/>
    <w:rsid w:val="542B5FEB"/>
    <w:rsid w:val="54412703"/>
    <w:rsid w:val="54764C4D"/>
    <w:rsid w:val="548B24C2"/>
    <w:rsid w:val="549F20FE"/>
    <w:rsid w:val="55177E5E"/>
    <w:rsid w:val="5565147B"/>
    <w:rsid w:val="55757010"/>
    <w:rsid w:val="558A4E39"/>
    <w:rsid w:val="56181A75"/>
    <w:rsid w:val="56381BFF"/>
    <w:rsid w:val="567E0312"/>
    <w:rsid w:val="5694249D"/>
    <w:rsid w:val="57242EA7"/>
    <w:rsid w:val="57360CB1"/>
    <w:rsid w:val="57E74DE2"/>
    <w:rsid w:val="57FA64DA"/>
    <w:rsid w:val="581C6FD1"/>
    <w:rsid w:val="586C0B10"/>
    <w:rsid w:val="587834CB"/>
    <w:rsid w:val="58B00199"/>
    <w:rsid w:val="58B745C5"/>
    <w:rsid w:val="58C13C0A"/>
    <w:rsid w:val="59997A4B"/>
    <w:rsid w:val="5B0F2A57"/>
    <w:rsid w:val="5BC27E00"/>
    <w:rsid w:val="5C0E11F6"/>
    <w:rsid w:val="5C2F040B"/>
    <w:rsid w:val="5C52514A"/>
    <w:rsid w:val="5C555867"/>
    <w:rsid w:val="5C6972C0"/>
    <w:rsid w:val="5CEC456F"/>
    <w:rsid w:val="5D227272"/>
    <w:rsid w:val="5D3A6A48"/>
    <w:rsid w:val="5D6D228C"/>
    <w:rsid w:val="5D921BF1"/>
    <w:rsid w:val="5DCF76F2"/>
    <w:rsid w:val="5DD90C41"/>
    <w:rsid w:val="5DDA3C20"/>
    <w:rsid w:val="5DE94AD8"/>
    <w:rsid w:val="5DF1140A"/>
    <w:rsid w:val="5E303744"/>
    <w:rsid w:val="5EAB0FC7"/>
    <w:rsid w:val="5F4E5DDF"/>
    <w:rsid w:val="5FBC36A7"/>
    <w:rsid w:val="5FDF242E"/>
    <w:rsid w:val="600B38B6"/>
    <w:rsid w:val="60293C40"/>
    <w:rsid w:val="604C05A2"/>
    <w:rsid w:val="60816BB5"/>
    <w:rsid w:val="60C2474E"/>
    <w:rsid w:val="60CA3AB1"/>
    <w:rsid w:val="60E5640C"/>
    <w:rsid w:val="611428B7"/>
    <w:rsid w:val="6190499C"/>
    <w:rsid w:val="61EC3438"/>
    <w:rsid w:val="627C309A"/>
    <w:rsid w:val="63034183"/>
    <w:rsid w:val="63840BF2"/>
    <w:rsid w:val="63C2330E"/>
    <w:rsid w:val="63CE11C3"/>
    <w:rsid w:val="63EF54E0"/>
    <w:rsid w:val="63F162AD"/>
    <w:rsid w:val="642C3E06"/>
    <w:rsid w:val="649F0C2F"/>
    <w:rsid w:val="64D03080"/>
    <w:rsid w:val="64D13D0A"/>
    <w:rsid w:val="64DA068B"/>
    <w:rsid w:val="652C55DB"/>
    <w:rsid w:val="65A339CA"/>
    <w:rsid w:val="65BD501C"/>
    <w:rsid w:val="660926A8"/>
    <w:rsid w:val="6657466B"/>
    <w:rsid w:val="66CA1467"/>
    <w:rsid w:val="66CB41F1"/>
    <w:rsid w:val="66CF46A7"/>
    <w:rsid w:val="66E418FC"/>
    <w:rsid w:val="66E71753"/>
    <w:rsid w:val="66E83A21"/>
    <w:rsid w:val="674328DB"/>
    <w:rsid w:val="676B7351"/>
    <w:rsid w:val="67802931"/>
    <w:rsid w:val="6782675A"/>
    <w:rsid w:val="67BA60C6"/>
    <w:rsid w:val="67E6231D"/>
    <w:rsid w:val="68D111CD"/>
    <w:rsid w:val="690D19C6"/>
    <w:rsid w:val="691F7BF1"/>
    <w:rsid w:val="69324A35"/>
    <w:rsid w:val="699E3074"/>
    <w:rsid w:val="69C5793F"/>
    <w:rsid w:val="6A4F304D"/>
    <w:rsid w:val="6A520EED"/>
    <w:rsid w:val="6A953190"/>
    <w:rsid w:val="6AAE4F43"/>
    <w:rsid w:val="6AB64CFD"/>
    <w:rsid w:val="6AC04D5F"/>
    <w:rsid w:val="6BA57D26"/>
    <w:rsid w:val="6BA87C8A"/>
    <w:rsid w:val="6C844AF2"/>
    <w:rsid w:val="6C8E3142"/>
    <w:rsid w:val="6C9B079B"/>
    <w:rsid w:val="6CAD05A1"/>
    <w:rsid w:val="6CC96354"/>
    <w:rsid w:val="6D6B7780"/>
    <w:rsid w:val="6D7B6603"/>
    <w:rsid w:val="6DA62AF2"/>
    <w:rsid w:val="6DE7039E"/>
    <w:rsid w:val="6E1246BD"/>
    <w:rsid w:val="6E1C0D7F"/>
    <w:rsid w:val="6E8A6100"/>
    <w:rsid w:val="6F28776C"/>
    <w:rsid w:val="6F4626DF"/>
    <w:rsid w:val="6F5A6434"/>
    <w:rsid w:val="70393E57"/>
    <w:rsid w:val="707601CC"/>
    <w:rsid w:val="70DE192C"/>
    <w:rsid w:val="71527247"/>
    <w:rsid w:val="716B476F"/>
    <w:rsid w:val="71F815E0"/>
    <w:rsid w:val="72194CFE"/>
    <w:rsid w:val="72432D8B"/>
    <w:rsid w:val="72982D3D"/>
    <w:rsid w:val="73026AF4"/>
    <w:rsid w:val="73701862"/>
    <w:rsid w:val="738D62A2"/>
    <w:rsid w:val="73BB7B21"/>
    <w:rsid w:val="73DB2B59"/>
    <w:rsid w:val="741769CB"/>
    <w:rsid w:val="74D936AA"/>
    <w:rsid w:val="75492857"/>
    <w:rsid w:val="755D3819"/>
    <w:rsid w:val="75782271"/>
    <w:rsid w:val="759D42A5"/>
    <w:rsid w:val="75B11D8B"/>
    <w:rsid w:val="75EC0A9D"/>
    <w:rsid w:val="76047400"/>
    <w:rsid w:val="77B145E8"/>
    <w:rsid w:val="77D9604A"/>
    <w:rsid w:val="7815640A"/>
    <w:rsid w:val="782862D9"/>
    <w:rsid w:val="786853AF"/>
    <w:rsid w:val="78C43B5E"/>
    <w:rsid w:val="78CD66C0"/>
    <w:rsid w:val="797A342A"/>
    <w:rsid w:val="798F362C"/>
    <w:rsid w:val="79945194"/>
    <w:rsid w:val="7A49718B"/>
    <w:rsid w:val="7B4D1562"/>
    <w:rsid w:val="7B792402"/>
    <w:rsid w:val="7B7D522D"/>
    <w:rsid w:val="7BDE55EF"/>
    <w:rsid w:val="7C9E2034"/>
    <w:rsid w:val="7CA432BB"/>
    <w:rsid w:val="7CCC5678"/>
    <w:rsid w:val="7D45153B"/>
    <w:rsid w:val="7D5A1455"/>
    <w:rsid w:val="7E3C0774"/>
    <w:rsid w:val="7E3C3601"/>
    <w:rsid w:val="7E763F66"/>
    <w:rsid w:val="7EBF3615"/>
    <w:rsid w:val="7EFE5E92"/>
    <w:rsid w:val="7F361938"/>
    <w:rsid w:val="7FB45D8E"/>
    <w:rsid w:val="7FDE67B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qFormat="1" w:unhideWhenUsed="0" w:uiPriority="99" w:name="footnote text"/>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qFormat="1" w:unhideWhenUsed="0" w:uiPriority="99" w:name="footnote reference"/>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0"/>
      <w:sz w:val="21"/>
      <w:szCs w:val="21"/>
      <w:lang w:val="en-US" w:eastAsia="zh-CN" w:bidi="ar-SA"/>
    </w:rPr>
  </w:style>
  <w:style w:type="paragraph" w:styleId="3">
    <w:name w:val="heading 1"/>
    <w:basedOn w:val="1"/>
    <w:next w:val="1"/>
    <w:link w:val="17"/>
    <w:qFormat/>
    <w:uiPriority w:val="99"/>
    <w:pPr>
      <w:keepNext/>
      <w:keepLines/>
      <w:spacing w:before="340" w:after="330" w:line="576" w:lineRule="auto"/>
      <w:outlineLvl w:val="0"/>
    </w:pPr>
    <w:rPr>
      <w:b/>
      <w:bCs/>
      <w:kern w:val="44"/>
      <w:sz w:val="44"/>
      <w:szCs w:val="44"/>
    </w:rPr>
  </w:style>
  <w:style w:type="paragraph" w:styleId="4">
    <w:name w:val="heading 2"/>
    <w:basedOn w:val="1"/>
    <w:next w:val="1"/>
    <w:link w:val="18"/>
    <w:qFormat/>
    <w:uiPriority w:val="99"/>
    <w:pPr>
      <w:keepNext/>
      <w:keepLines/>
      <w:spacing w:before="260" w:after="260" w:line="413" w:lineRule="auto"/>
      <w:outlineLvl w:val="1"/>
    </w:pPr>
    <w:rPr>
      <w:rFonts w:ascii="Arial" w:hAnsi="Arial" w:eastAsia="黑体" w:cs="Arial"/>
      <w:b/>
      <w:bCs/>
      <w:sz w:val="32"/>
      <w:szCs w:val="32"/>
    </w:rPr>
  </w:style>
  <w:style w:type="paragraph" w:styleId="5">
    <w:name w:val="heading 3"/>
    <w:basedOn w:val="1"/>
    <w:next w:val="1"/>
    <w:link w:val="19"/>
    <w:qFormat/>
    <w:uiPriority w:val="99"/>
    <w:pPr>
      <w:keepNext/>
      <w:keepLines/>
      <w:spacing w:before="260" w:after="260" w:line="413" w:lineRule="auto"/>
      <w:outlineLvl w:val="2"/>
    </w:pPr>
    <w:rPr>
      <w:b/>
      <w:bCs/>
      <w:sz w:val="32"/>
      <w:szCs w:val="32"/>
    </w:rPr>
  </w:style>
  <w:style w:type="character" w:default="1" w:styleId="14">
    <w:name w:val="Default Paragraph Font"/>
    <w:semiHidden/>
    <w:uiPriority w:val="99"/>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20"/>
    <w:qFormat/>
    <w:uiPriority w:val="99"/>
    <w:pPr>
      <w:tabs>
        <w:tab w:val="center" w:pos="4153"/>
        <w:tab w:val="right" w:pos="8306"/>
      </w:tabs>
      <w:snapToGrid w:val="0"/>
      <w:jc w:val="left"/>
    </w:pPr>
    <w:rPr>
      <w:sz w:val="18"/>
      <w:szCs w:val="18"/>
    </w:rPr>
  </w:style>
  <w:style w:type="paragraph" w:styleId="6">
    <w:name w:val="toc 3"/>
    <w:basedOn w:val="1"/>
    <w:next w:val="1"/>
    <w:semiHidden/>
    <w:qFormat/>
    <w:uiPriority w:val="99"/>
    <w:pPr>
      <w:ind w:left="840" w:leftChars="400"/>
    </w:pPr>
    <w:rPr>
      <w:rFonts w:ascii="等线" w:hAnsi="等线" w:eastAsia="等线" w:cs="等线"/>
    </w:rPr>
  </w:style>
  <w:style w:type="paragraph" w:styleId="7">
    <w:name w:val="Balloon Text"/>
    <w:basedOn w:val="1"/>
    <w:link w:val="21"/>
    <w:semiHidden/>
    <w:qFormat/>
    <w:uiPriority w:val="99"/>
    <w:rPr>
      <w:sz w:val="18"/>
      <w:szCs w:val="18"/>
    </w:rPr>
  </w:style>
  <w:style w:type="paragraph" w:styleId="8">
    <w:name w:val="header"/>
    <w:basedOn w:val="1"/>
    <w:link w:val="22"/>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semiHidden/>
    <w:qFormat/>
    <w:uiPriority w:val="99"/>
  </w:style>
  <w:style w:type="paragraph" w:styleId="10">
    <w:name w:val="footnote text"/>
    <w:basedOn w:val="1"/>
    <w:link w:val="23"/>
    <w:semiHidden/>
    <w:qFormat/>
    <w:uiPriority w:val="99"/>
    <w:pPr>
      <w:snapToGrid w:val="0"/>
      <w:jc w:val="left"/>
    </w:pPr>
    <w:rPr>
      <w:sz w:val="18"/>
      <w:szCs w:val="18"/>
    </w:rPr>
  </w:style>
  <w:style w:type="paragraph" w:styleId="11">
    <w:name w:val="toc 2"/>
    <w:basedOn w:val="1"/>
    <w:next w:val="1"/>
    <w:semiHidden/>
    <w:qFormat/>
    <w:uiPriority w:val="99"/>
    <w:pPr>
      <w:ind w:left="420" w:leftChars="200"/>
    </w:pPr>
  </w:style>
  <w:style w:type="table" w:styleId="13">
    <w:name w:val="Table Grid"/>
    <w:basedOn w:val="12"/>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Hyperlink"/>
    <w:basedOn w:val="14"/>
    <w:qFormat/>
    <w:uiPriority w:val="99"/>
    <w:rPr>
      <w:color w:val="0000FF"/>
      <w:u w:val="single"/>
    </w:rPr>
  </w:style>
  <w:style w:type="character" w:styleId="16">
    <w:name w:val="footnote reference"/>
    <w:basedOn w:val="14"/>
    <w:semiHidden/>
    <w:qFormat/>
    <w:uiPriority w:val="99"/>
    <w:rPr>
      <w:vertAlign w:val="superscript"/>
    </w:rPr>
  </w:style>
  <w:style w:type="character" w:customStyle="1" w:styleId="17">
    <w:name w:val="Heading 1 Char"/>
    <w:basedOn w:val="14"/>
    <w:link w:val="3"/>
    <w:qFormat/>
    <w:locked/>
    <w:uiPriority w:val="99"/>
    <w:rPr>
      <w:b/>
      <w:bCs/>
      <w:kern w:val="44"/>
      <w:sz w:val="44"/>
      <w:szCs w:val="44"/>
    </w:rPr>
  </w:style>
  <w:style w:type="character" w:customStyle="1" w:styleId="18">
    <w:name w:val="Heading 2 Char"/>
    <w:basedOn w:val="14"/>
    <w:link w:val="4"/>
    <w:semiHidden/>
    <w:qFormat/>
    <w:locked/>
    <w:uiPriority w:val="99"/>
    <w:rPr>
      <w:rFonts w:ascii="Cambria" w:hAnsi="Cambria" w:eastAsia="宋体" w:cs="Cambria"/>
      <w:b/>
      <w:bCs/>
      <w:kern w:val="0"/>
      <w:sz w:val="32"/>
      <w:szCs w:val="32"/>
    </w:rPr>
  </w:style>
  <w:style w:type="character" w:customStyle="1" w:styleId="19">
    <w:name w:val="Heading 3 Char"/>
    <w:basedOn w:val="14"/>
    <w:link w:val="5"/>
    <w:semiHidden/>
    <w:qFormat/>
    <w:locked/>
    <w:uiPriority w:val="99"/>
    <w:rPr>
      <w:b/>
      <w:bCs/>
      <w:kern w:val="0"/>
      <w:sz w:val="32"/>
      <w:szCs w:val="32"/>
    </w:rPr>
  </w:style>
  <w:style w:type="character" w:customStyle="1" w:styleId="20">
    <w:name w:val="Footer Char"/>
    <w:basedOn w:val="14"/>
    <w:link w:val="2"/>
    <w:qFormat/>
    <w:locked/>
    <w:uiPriority w:val="99"/>
    <w:rPr>
      <w:rFonts w:ascii="Times New Roman" w:hAnsi="Times New Roman" w:eastAsia="宋体" w:cs="Times New Roman"/>
      <w:snapToGrid w:val="0"/>
      <w:kern w:val="0"/>
      <w:sz w:val="18"/>
      <w:szCs w:val="18"/>
    </w:rPr>
  </w:style>
  <w:style w:type="character" w:customStyle="1" w:styleId="21">
    <w:name w:val="Balloon Text Char"/>
    <w:basedOn w:val="14"/>
    <w:link w:val="7"/>
    <w:semiHidden/>
    <w:qFormat/>
    <w:locked/>
    <w:uiPriority w:val="99"/>
    <w:rPr>
      <w:snapToGrid w:val="0"/>
      <w:sz w:val="18"/>
      <w:szCs w:val="18"/>
    </w:rPr>
  </w:style>
  <w:style w:type="character" w:customStyle="1" w:styleId="22">
    <w:name w:val="Header Char"/>
    <w:basedOn w:val="14"/>
    <w:link w:val="8"/>
    <w:qFormat/>
    <w:locked/>
    <w:uiPriority w:val="99"/>
    <w:rPr>
      <w:rFonts w:ascii="Times New Roman" w:hAnsi="Times New Roman" w:eastAsia="宋体" w:cs="Times New Roman"/>
      <w:snapToGrid w:val="0"/>
      <w:kern w:val="0"/>
      <w:sz w:val="18"/>
      <w:szCs w:val="18"/>
    </w:rPr>
  </w:style>
  <w:style w:type="character" w:customStyle="1" w:styleId="23">
    <w:name w:val="Footnote Text Char"/>
    <w:basedOn w:val="14"/>
    <w:link w:val="10"/>
    <w:semiHidden/>
    <w:qFormat/>
    <w:locked/>
    <w:uiPriority w:val="99"/>
    <w:rPr>
      <w:kern w:val="0"/>
      <w:sz w:val="18"/>
      <w:szCs w:val="18"/>
    </w:rPr>
  </w:style>
  <w:style w:type="character" w:customStyle="1" w:styleId="24">
    <w:name w:val="页脚 Char"/>
    <w:qFormat/>
    <w:uiPriority w:val="99"/>
    <w:rPr>
      <w:snapToGrid w:val="0"/>
      <w:sz w:val="18"/>
      <w:szCs w:val="18"/>
    </w:rPr>
  </w:style>
  <w:style w:type="character" w:customStyle="1" w:styleId="25">
    <w:name w:val="font81"/>
    <w:basedOn w:val="14"/>
    <w:qFormat/>
    <w:uiPriority w:val="99"/>
    <w:rPr>
      <w:rFonts w:ascii="Times New Roman" w:hAnsi="Times New Roman" w:cs="Times New Roman"/>
      <w:b/>
      <w:bCs/>
      <w:color w:val="000000"/>
      <w:sz w:val="22"/>
      <w:szCs w:val="22"/>
      <w:u w:val="none"/>
    </w:rPr>
  </w:style>
  <w:style w:type="character" w:customStyle="1" w:styleId="26">
    <w:name w:val="font71"/>
    <w:basedOn w:val="14"/>
    <w:qFormat/>
    <w:uiPriority w:val="99"/>
    <w:rPr>
      <w:rFonts w:ascii="宋体" w:hAnsi="宋体" w:eastAsia="宋体" w:cs="宋体"/>
      <w:color w:val="000000"/>
      <w:sz w:val="21"/>
      <w:szCs w:val="21"/>
      <w:u w:val="none"/>
    </w:rPr>
  </w:style>
  <w:style w:type="character" w:customStyle="1" w:styleId="27">
    <w:name w:val="font21"/>
    <w:basedOn w:val="14"/>
    <w:qFormat/>
    <w:uiPriority w:val="99"/>
    <w:rPr>
      <w:rFonts w:ascii="宋体" w:hAnsi="宋体" w:eastAsia="宋体" w:cs="宋体"/>
      <w:b/>
      <w:bCs/>
      <w:color w:val="000000"/>
      <w:sz w:val="48"/>
      <w:szCs w:val="48"/>
      <w:u w:val="none"/>
    </w:rPr>
  </w:style>
  <w:style w:type="character" w:customStyle="1" w:styleId="28">
    <w:name w:val="font11"/>
    <w:basedOn w:val="14"/>
    <w:qFormat/>
    <w:uiPriority w:val="99"/>
    <w:rPr>
      <w:rFonts w:ascii="Times New Roman" w:hAnsi="Times New Roman" w:cs="Times New Roman"/>
      <w:b/>
      <w:bCs/>
      <w:color w:val="000000"/>
      <w:sz w:val="48"/>
      <w:szCs w:val="48"/>
      <w:u w:val="none"/>
    </w:rPr>
  </w:style>
  <w:style w:type="character" w:customStyle="1" w:styleId="29">
    <w:name w:val="font51"/>
    <w:basedOn w:val="14"/>
    <w:qFormat/>
    <w:uiPriority w:val="99"/>
    <w:rPr>
      <w:rFonts w:ascii="宋体" w:hAnsi="宋体" w:eastAsia="宋体" w:cs="宋体"/>
      <w:b/>
      <w:bCs/>
      <w:color w:val="000000"/>
      <w:sz w:val="22"/>
      <w:szCs w:val="22"/>
      <w:u w:val="none"/>
    </w:rPr>
  </w:style>
  <w:style w:type="character" w:customStyle="1" w:styleId="30">
    <w:name w:val="font41"/>
    <w:basedOn w:val="14"/>
    <w:qFormat/>
    <w:uiPriority w:val="99"/>
    <w:rPr>
      <w:rFonts w:ascii="Times New Roman" w:hAnsi="Times New Roman" w:cs="Times New Roman"/>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DoubleOX</Company>
  <Pages>123</Pages>
  <Words>7302</Words>
  <Characters>7663</Characters>
  <Lines>0</Lines>
  <Paragraphs>0</Paragraphs>
  <TotalTime>1</TotalTime>
  <ScaleCrop>false</ScaleCrop>
  <LinksUpToDate>false</LinksUpToDate>
  <CharactersWithSpaces>7984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2021-11-22T02:25:00Z</dcterms:created>
  <dc:creator>综合协调组(zhxtz_fy)</dc:creator>
  <cp:lastModifiedBy>翼向苍宇</cp:lastModifiedBy>
  <cp:lastPrinted>2021-10-26T02:10:00Z</cp:lastPrinted>
  <dcterms:modified xsi:type="dcterms:W3CDTF">2026-02-04T07:02:33Z</dcterms:modified>
  <dc:title>秦淮区国民经济和社会发展第十四个五年规划和二〇三五年远景目标纲要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461910999_btnclosed</vt:lpwstr>
  </property>
  <property fmtid="{D5CDD505-2E9C-101B-9397-08002B2CF9AE}" pid="3" name="KSOProductBuildVer">
    <vt:lpwstr>2052-12.1.0.23542</vt:lpwstr>
  </property>
  <property fmtid="{D5CDD505-2E9C-101B-9397-08002B2CF9AE}" pid="4" name="ICV">
    <vt:lpwstr>9E6C08E958694404BE734127789503EA_13</vt:lpwstr>
  </property>
  <property fmtid="{D5CDD505-2E9C-101B-9397-08002B2CF9AE}" pid="5" name="KSOTemplateDocerSaveRecord">
    <vt:lpwstr>eyJoZGlkIjoiNGFkNDlmNzM2NTllZWNkMDA2MzQ0YzA1MWY1YzU0ZDAiLCJ1c2VySWQiOiIyMDQyNzIxODQifQ==</vt:lpwstr>
  </property>
</Properties>
</file>