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40" w:lineRule="exact"/>
        <w:jc w:val="center"/>
        <w:rPr>
          <w:rFonts w:hint="eastAsia" w:ascii="方正楷体_GBK" w:hAnsi="楷体_GB2312" w:eastAsia="方正楷体_GBK" w:cs="楷体_GB2312"/>
          <w:color w:val="auto"/>
          <w:sz w:val="32"/>
          <w:szCs w:val="32"/>
        </w:rPr>
      </w:pPr>
      <w:r>
        <w:rPr>
          <w:rFonts w:hint="eastAsia" w:ascii="方正小标宋_GBK" w:hAnsi="方正小标宋_GBK" w:eastAsia="方正小标宋_GBK" w:cs="方正小标宋_GBK"/>
          <w:color w:val="auto"/>
          <w:sz w:val="44"/>
          <w:szCs w:val="44"/>
        </w:rPr>
        <w:t>老城南“十四五”发展规划</w:t>
      </w:r>
    </w:p>
    <w:p>
      <w:pPr>
        <w:keepNext w:val="0"/>
        <w:keepLines w:val="0"/>
        <w:pageBreakBefore w:val="0"/>
        <w:kinsoku/>
        <w:wordWrap/>
        <w:overflowPunct/>
        <w:topLinePunct w:val="0"/>
        <w:autoSpaceDE/>
        <w:autoSpaceDN/>
        <w:bidi w:val="0"/>
        <w:adjustRightInd/>
        <w:spacing w:line="540" w:lineRule="exact"/>
        <w:jc w:val="center"/>
        <w:rPr>
          <w:rFonts w:hint="eastAsia" w:ascii="方正楷体_GBK" w:hAnsi="楷体_GB2312" w:eastAsia="方正楷体_GBK" w:cs="楷体_GB2312"/>
          <w:color w:val="auto"/>
          <w:sz w:val="32"/>
          <w:szCs w:val="32"/>
          <w:lang w:eastAsia="zh-CN"/>
        </w:rPr>
      </w:pPr>
      <w:r>
        <w:rPr>
          <w:rFonts w:hint="eastAsia" w:ascii="方正楷体_GBK" w:hAnsi="楷体_GB2312" w:eastAsia="方正楷体_GBK" w:cs="楷体_GB2312"/>
          <w:color w:val="auto"/>
          <w:sz w:val="32"/>
          <w:szCs w:val="32"/>
          <w:lang w:eastAsia="zh-CN"/>
        </w:rPr>
        <w:t>（征求意见稿）</w:t>
      </w:r>
    </w:p>
    <w:p>
      <w:pPr>
        <w:keepNext w:val="0"/>
        <w:keepLines w:val="0"/>
        <w:pageBreakBefore w:val="0"/>
        <w:kinsoku/>
        <w:wordWrap/>
        <w:overflowPunct/>
        <w:topLinePunct w:val="0"/>
        <w:autoSpaceDE/>
        <w:autoSpaceDN/>
        <w:bidi w:val="0"/>
        <w:adjustRightInd/>
        <w:spacing w:line="540" w:lineRule="exact"/>
        <w:jc w:val="center"/>
        <w:rPr>
          <w:rFonts w:hint="eastAsia" w:ascii="方正楷体_GBK" w:hAnsi="楷体_GB2312" w:eastAsia="方正楷体_GBK" w:cs="楷体_GB2312"/>
          <w:color w:val="auto"/>
          <w:sz w:val="32"/>
          <w:szCs w:val="32"/>
        </w:rPr>
      </w:pPr>
    </w:p>
    <w:p>
      <w:pPr>
        <w:keepNext w:val="0"/>
        <w:keepLines w:val="0"/>
        <w:pageBreakBefore w:val="0"/>
        <w:kinsoku/>
        <w:wordWrap/>
        <w:overflowPunct/>
        <w:topLinePunct w:val="0"/>
        <w:autoSpaceDE/>
        <w:autoSpaceDN/>
        <w:bidi w:val="0"/>
        <w:adjustRightInd/>
        <w:spacing w:line="540" w:lineRule="exact"/>
        <w:jc w:val="center"/>
        <w:rPr>
          <w:rFonts w:hint="eastAsia" w:ascii="方正楷体_GBK" w:hAnsi="楷体_GB2312" w:eastAsia="方正楷体_GBK" w:cs="楷体_GB2312"/>
          <w:color w:val="auto"/>
          <w:sz w:val="32"/>
          <w:szCs w:val="32"/>
        </w:rPr>
      </w:pPr>
      <w:r>
        <w:rPr>
          <w:rFonts w:hint="eastAsia" w:ascii="方正楷体_GBK" w:hAnsi="楷体_GB2312" w:eastAsia="方正楷体_GBK" w:cs="楷体_GB2312"/>
          <w:color w:val="auto"/>
          <w:sz w:val="32"/>
          <w:szCs w:val="32"/>
        </w:rPr>
        <w:t>风光带管委会</w:t>
      </w:r>
    </w:p>
    <w:p>
      <w:pPr>
        <w:pStyle w:val="2"/>
        <w:rPr>
          <w:rFonts w:hint="eastAsia"/>
        </w:rPr>
      </w:pPr>
    </w:p>
    <w:p>
      <w:pPr>
        <w:pStyle w:val="4"/>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回顾“十三五”时期，老城</w:t>
      </w:r>
      <w:r>
        <w:rPr>
          <w:rFonts w:hint="eastAsia" w:ascii="方正仿宋_GBK" w:hAnsi="方正仿宋_GBK" w:eastAsia="方正仿宋_GBK" w:cs="方正仿宋_GBK"/>
          <w:color w:val="auto"/>
          <w:sz w:val="32"/>
          <w:szCs w:val="32"/>
        </w:rPr>
        <w:t>南</w:t>
      </w:r>
      <w:r>
        <w:rPr>
          <w:rFonts w:hint="eastAsia" w:ascii="方正仿宋_GBK" w:hAnsi="方正仿宋_GBK" w:eastAsia="方正仿宋_GBK" w:cs="方正仿宋_GBK"/>
          <w:color w:val="auto"/>
          <w:sz w:val="32"/>
          <w:szCs w:val="32"/>
          <w:lang w:eastAsia="zh-CN"/>
        </w:rPr>
        <w:t>板块</w:t>
      </w:r>
      <w:r>
        <w:rPr>
          <w:rFonts w:hint="eastAsia" w:ascii="方正仿宋_GBK" w:hAnsi="方正仿宋_GBK" w:eastAsia="方正仿宋_GBK" w:cs="方正仿宋_GBK"/>
          <w:color w:val="auto"/>
          <w:sz w:val="32"/>
          <w:szCs w:val="32"/>
          <w:lang w:val="en-US" w:eastAsia="zh-CN"/>
        </w:rPr>
        <w:t>坚持新发展理念引领，围绕“保护更新老城、开发建设新城”总体格局，按照“保护优先、有机更新、提升品质、彰显特色、传承文化”思路，全力打造最能彰显古城深厚文化底蕴、最能代表南京历史文化名城特质的国际性文化休闲旅游目的地，交出了一份高质量发展的合格答卷。</w:t>
      </w:r>
    </w:p>
    <w:p>
      <w:pPr>
        <w:pStyle w:val="4"/>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十四五”时期，是我国由全面建成小康社会向基本实现社会主义现代化迈进的关键时期，是开启全面建设社会主义现代化国家新征程的第一个五年规划。为了从更广范围、更深层次、更高水平推进老城南地区文旅商融合发展，建设国家级文旅商融合示范区，</w:t>
      </w:r>
      <w:r>
        <w:rPr>
          <w:rFonts w:hint="eastAsia" w:ascii="方正仿宋_GBK" w:hAnsi="方正仿宋_GBK" w:eastAsia="方正仿宋_GBK" w:cs="方正仿宋_GBK"/>
          <w:color w:val="auto"/>
          <w:sz w:val="32"/>
          <w:szCs w:val="32"/>
          <w:lang w:eastAsia="zh-CN"/>
        </w:rPr>
        <w:t>奋力打造城市更新发展样板和对外交流重要窗口</w:t>
      </w:r>
      <w:r>
        <w:rPr>
          <w:rFonts w:hint="eastAsia" w:eastAsia="仿宋"/>
          <w:color w:val="auto"/>
          <w:sz w:val="32"/>
          <w:szCs w:val="32"/>
          <w:highlight w:val="none"/>
          <w:lang w:eastAsia="zh-CN"/>
        </w:rPr>
        <w:t>，</w:t>
      </w:r>
      <w:r>
        <w:rPr>
          <w:rFonts w:hint="eastAsia" w:ascii="方正仿宋_GBK" w:hAnsi="方正仿宋_GBK" w:eastAsia="方正仿宋_GBK" w:cs="方正仿宋_GBK"/>
          <w:color w:val="auto"/>
          <w:sz w:val="32"/>
          <w:szCs w:val="32"/>
        </w:rPr>
        <w:t>特制定如下发展规划。</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ascii="方正楷体_GBK" w:hAnsi="方正楷体_GBK" w:eastAsia="方正楷体_GBK" w:cs="方正楷体_GBK"/>
          <w:b/>
          <w:bCs/>
          <w:color w:val="auto"/>
          <w:sz w:val="32"/>
          <w:szCs w:val="32"/>
        </w:rPr>
      </w:pPr>
      <w:r>
        <w:rPr>
          <w:rFonts w:hint="eastAsia" w:ascii="方正黑体_GBK" w:hAnsi="方正黑体_GBK" w:eastAsia="方正黑体_GBK" w:cs="方正黑体_GBK"/>
          <w:color w:val="auto"/>
          <w:sz w:val="32"/>
          <w:szCs w:val="32"/>
        </w:rPr>
        <w:t>一、</w:t>
      </w:r>
      <w:r>
        <w:rPr>
          <w:rFonts w:hint="eastAsia" w:ascii="方正黑体_GBK" w:hAnsi="方正黑体_GBK" w:eastAsia="方正黑体_GBK" w:cs="方正黑体_GBK"/>
          <w:color w:val="auto"/>
          <w:sz w:val="32"/>
          <w:szCs w:val="32"/>
          <w:lang w:eastAsia="zh-CN"/>
        </w:rPr>
        <w:t>指导思想</w:t>
      </w:r>
    </w:p>
    <w:p>
      <w:pPr>
        <w:pStyle w:val="4"/>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color w:val="auto"/>
        </w:rPr>
      </w:pPr>
      <w:r>
        <w:rPr>
          <w:rFonts w:hint="eastAsia" w:ascii="方正仿宋_GBK" w:hAnsi="方正仿宋_GBK" w:eastAsia="方正仿宋_GBK" w:cs="方正仿宋_GBK"/>
          <w:color w:val="auto"/>
          <w:sz w:val="32"/>
          <w:szCs w:val="32"/>
        </w:rPr>
        <w:t>以习近平新时代中国特色社会主义思想为指导，</w:t>
      </w:r>
      <w:r>
        <w:rPr>
          <w:rFonts w:hint="eastAsia" w:ascii="方正仿宋_GBK" w:hAnsi="方正仿宋_GBK" w:eastAsia="方正仿宋_GBK" w:cs="方正仿宋_GBK"/>
          <w:color w:val="auto"/>
          <w:sz w:val="32"/>
          <w:szCs w:val="32"/>
          <w:lang w:eastAsia="zh-CN"/>
        </w:rPr>
        <w:t>落实习近平总书记视察江苏重要指示和全面推动长江经济带发展座谈会重要讲话精神，按照“争当表率、争做示范、走在前列”要求，</w:t>
      </w:r>
      <w:r>
        <w:rPr>
          <w:rFonts w:hint="eastAsia" w:ascii="方正仿宋_GBK" w:hAnsi="方正仿宋_GBK" w:eastAsia="方正仿宋_GBK" w:cs="方正仿宋_GBK"/>
          <w:color w:val="auto"/>
          <w:sz w:val="32"/>
          <w:szCs w:val="32"/>
        </w:rPr>
        <w:t>坚持党的全面领导，充分调动一切积极因素，形成推动发展的强大合力。</w:t>
      </w:r>
      <w:r>
        <w:rPr>
          <w:rFonts w:hint="eastAsia" w:ascii="方正仿宋_GBK" w:hAnsi="方正仿宋_GBK" w:eastAsia="方正仿宋_GBK" w:cs="方正仿宋_GBK"/>
          <w:color w:val="auto"/>
          <w:sz w:val="32"/>
          <w:szCs w:val="32"/>
          <w:lang w:eastAsia="zh-CN"/>
        </w:rPr>
        <w:t>大力推进供给侧改革，</w:t>
      </w:r>
      <w:r>
        <w:rPr>
          <w:rFonts w:hint="eastAsia" w:ascii="方正仿宋_GBK" w:hAnsi="方正仿宋_GBK" w:eastAsia="方正仿宋_GBK" w:cs="方正仿宋_GBK"/>
          <w:color w:val="auto"/>
          <w:sz w:val="32"/>
          <w:szCs w:val="32"/>
        </w:rPr>
        <w:t>构建管理新标准，强化协作联动，加强资源</w:t>
      </w:r>
      <w:r>
        <w:rPr>
          <w:rFonts w:hint="eastAsia" w:ascii="方正仿宋_GBK" w:hAnsi="方正仿宋_GBK" w:eastAsia="方正仿宋_GBK" w:cs="方正仿宋_GBK"/>
          <w:color w:val="auto"/>
          <w:sz w:val="32"/>
          <w:szCs w:val="32"/>
          <w:lang w:eastAsia="zh-CN"/>
        </w:rPr>
        <w:t>整合</w:t>
      </w:r>
      <w:r>
        <w:rPr>
          <w:rFonts w:hint="eastAsia" w:ascii="方正仿宋_GBK" w:hAnsi="方正仿宋_GBK" w:eastAsia="方正仿宋_GBK" w:cs="方正仿宋_GBK"/>
          <w:color w:val="auto"/>
          <w:sz w:val="32"/>
          <w:szCs w:val="32"/>
        </w:rPr>
        <w:t>，在更高层次战略发展上更好谋划和实现景区管理创新，同时以全域统筹和分类集聚为基本路径，强化文化引领与文化自信，坚持“宜融则融、能融尽融”基本原则，以园区、街区、景区为核心支撑，以特色引领和多产业融合为根本方式，以龙头企业和产业集群为主要形态，重点发展文化、旅游产业，延续文化传承。按照高品质保护更新老城，老城与新城融合共生、奋力推进经济社会高质量发展基本思路，</w:t>
      </w:r>
      <w:r>
        <w:rPr>
          <w:rFonts w:eastAsia="仿宋"/>
          <w:color w:val="auto"/>
          <w:sz w:val="32"/>
          <w:szCs w:val="32"/>
          <w:highlight w:val="none"/>
        </w:rPr>
        <w:t>通过文化赋能、产业植入，打造古韵今貌交融，让人过目不忘、流连忘返的“腔调”老城风貌和人文风雅地标。</w:t>
      </w:r>
      <w:r>
        <w:rPr>
          <w:rFonts w:hint="eastAsia" w:ascii="方正仿宋_GBK" w:hAnsi="方正仿宋_GBK" w:eastAsia="方正仿宋_GBK" w:cs="方正仿宋_GBK"/>
          <w:color w:val="auto"/>
          <w:sz w:val="32"/>
          <w:szCs w:val="32"/>
        </w:rPr>
        <w:t>使文旅商融合发展成为人民群众美好生活的新向往，增强群众幸福感与获得感，</w:t>
      </w:r>
      <w:r>
        <w:rPr>
          <w:rFonts w:hint="eastAsia" w:ascii="方正仿宋_GBK" w:hAnsi="方正仿宋_GBK" w:eastAsia="方正仿宋_GBK" w:cs="方正仿宋_GBK"/>
          <w:color w:val="auto"/>
          <w:sz w:val="32"/>
          <w:szCs w:val="32"/>
          <w:lang w:eastAsia="zh-CN"/>
        </w:rPr>
        <w:t>为</w:t>
      </w:r>
      <w:r>
        <w:rPr>
          <w:rFonts w:eastAsia="仿宋"/>
          <w:color w:val="auto"/>
          <w:sz w:val="32"/>
          <w:szCs w:val="32"/>
          <w:highlight w:val="none"/>
        </w:rPr>
        <w:t>“特而精、最南京”、“创新名城示范区，美丽古都核心区”目标</w:t>
      </w:r>
      <w:r>
        <w:rPr>
          <w:rFonts w:hint="eastAsia" w:eastAsia="仿宋"/>
          <w:color w:val="auto"/>
          <w:sz w:val="32"/>
          <w:szCs w:val="32"/>
          <w:highlight w:val="none"/>
          <w:lang w:eastAsia="zh-CN"/>
        </w:rPr>
        <w:t>实现做出秦淮贡献，</w:t>
      </w:r>
      <w:r>
        <w:rPr>
          <w:rFonts w:hint="eastAsia" w:ascii="方正仿宋_GBK" w:hAnsi="方正仿宋_GBK" w:eastAsia="方正仿宋_GBK" w:cs="方正仿宋_GBK"/>
          <w:color w:val="auto"/>
          <w:sz w:val="32"/>
          <w:szCs w:val="32"/>
        </w:rPr>
        <w:t>推动强富美高新秦淮再起航</w:t>
      </w:r>
      <w:r>
        <w:rPr>
          <w:rFonts w:hint="eastAsia" w:ascii="方正仿宋_GBK" w:hAnsi="方正仿宋_GBK" w:eastAsia="方正仿宋_GBK" w:cs="方正仿宋_GBK"/>
          <w:color w:val="auto"/>
          <w:sz w:val="32"/>
          <w:szCs w:val="32"/>
          <w:lang w:eastAsia="zh-CN"/>
        </w:rPr>
        <w:t>，</w:t>
      </w:r>
      <w:r>
        <w:rPr>
          <w:rFonts w:eastAsia="仿宋"/>
          <w:color w:val="auto"/>
          <w:sz w:val="32"/>
          <w:szCs w:val="32"/>
          <w:highlight w:val="none"/>
        </w:rPr>
        <w:t>提升</w:t>
      </w:r>
      <w:r>
        <w:rPr>
          <w:rFonts w:hint="eastAsia" w:eastAsia="仿宋"/>
          <w:color w:val="auto"/>
          <w:sz w:val="32"/>
          <w:szCs w:val="32"/>
          <w:highlight w:val="none"/>
          <w:lang w:eastAsia="zh-CN"/>
        </w:rPr>
        <w:t>秦淮区</w:t>
      </w:r>
      <w:r>
        <w:rPr>
          <w:rFonts w:eastAsia="仿宋"/>
          <w:color w:val="auto"/>
          <w:sz w:val="32"/>
          <w:szCs w:val="32"/>
          <w:highlight w:val="none"/>
        </w:rPr>
        <w:t>中心城区首位度</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打造</w:t>
      </w:r>
      <w:r>
        <w:rPr>
          <w:rFonts w:hint="eastAsia" w:ascii="方正仿宋_GBK" w:hAnsi="方正仿宋_GBK" w:eastAsia="方正仿宋_GBK" w:cs="方正仿宋_GBK"/>
          <w:color w:val="auto"/>
          <w:sz w:val="32"/>
          <w:szCs w:val="32"/>
        </w:rPr>
        <w:t>彰显古城深厚文化底蕴、南京历史文化名城特质的国际性文化休闲旅游示范地</w:t>
      </w:r>
      <w:r>
        <w:rPr>
          <w:rFonts w:hint="eastAsia" w:ascii="方正仿宋_GBK" w:hAnsi="方正仿宋_GBK" w:eastAsia="方正仿宋_GBK" w:cs="方正仿宋_GBK"/>
          <w:color w:val="auto"/>
          <w:sz w:val="32"/>
          <w:szCs w:val="32"/>
          <w:lang w:eastAsia="zh-CN"/>
        </w:rPr>
        <w:t>。</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二、发展定位</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楷体_GBK" w:hAnsi="方正楷体_GBK" w:eastAsia="方正楷体_GBK" w:cs="方正楷体_GBK"/>
          <w:b/>
          <w:bCs/>
          <w:color w:val="auto"/>
          <w:sz w:val="32"/>
          <w:szCs w:val="32"/>
          <w:lang w:eastAsia="zh-CN"/>
        </w:rPr>
      </w:pPr>
      <w:r>
        <w:rPr>
          <w:rFonts w:hint="eastAsia" w:ascii="方正楷体_GBK" w:hAnsi="方正楷体_GBK" w:eastAsia="方正楷体_GBK" w:cs="方正楷体_GBK"/>
          <w:b/>
          <w:bCs/>
          <w:color w:val="auto"/>
          <w:sz w:val="32"/>
          <w:szCs w:val="32"/>
          <w:lang w:val="en-US" w:eastAsia="zh-CN"/>
        </w:rPr>
        <w:t>（一）整体定位</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hint="eastAsia" w:ascii="方正仿宋_GBK" w:hAnsi="方正仿宋_GBK" w:eastAsia="方正仿宋_GBK" w:cs="方正仿宋_GBK"/>
          <w:color w:val="auto"/>
          <w:sz w:val="32"/>
          <w:szCs w:val="32"/>
          <w:lang w:eastAsia="zh-CN"/>
        </w:rPr>
      </w:pPr>
      <w:bookmarkStart w:id="0" w:name="_Toc48048499"/>
      <w:r>
        <w:rPr>
          <w:rFonts w:hint="eastAsia" w:eastAsia="仿宋"/>
          <w:b/>
          <w:color w:val="auto"/>
          <w:sz w:val="32"/>
          <w:szCs w:val="32"/>
          <w:highlight w:val="none"/>
          <w:lang w:eastAsia="zh-CN"/>
        </w:rPr>
        <w:t>以</w:t>
      </w:r>
      <w:r>
        <w:rPr>
          <w:rFonts w:eastAsia="仿宋"/>
          <w:b/>
          <w:color w:val="auto"/>
          <w:sz w:val="32"/>
          <w:szCs w:val="32"/>
          <w:highlight w:val="none"/>
        </w:rPr>
        <w:t>“高品质保护更新老城、高质量开发建设新城、老城与新城融合共生”</w:t>
      </w:r>
      <w:r>
        <w:rPr>
          <w:rFonts w:hint="eastAsia" w:eastAsia="仿宋"/>
          <w:color w:val="auto"/>
          <w:sz w:val="32"/>
          <w:szCs w:val="32"/>
          <w:highlight w:val="none"/>
          <w:lang w:eastAsia="zh-CN"/>
        </w:rPr>
        <w:t>为</w:t>
      </w:r>
      <w:r>
        <w:rPr>
          <w:rFonts w:eastAsia="仿宋"/>
          <w:color w:val="auto"/>
          <w:sz w:val="32"/>
          <w:szCs w:val="32"/>
          <w:highlight w:val="none"/>
        </w:rPr>
        <w:t>总体格局。</w:t>
      </w:r>
      <w:r>
        <w:rPr>
          <w:rFonts w:hint="eastAsia" w:ascii="方正仿宋_GBK" w:hAnsi="方正仿宋_GBK" w:eastAsia="方正仿宋_GBK" w:cs="方正仿宋_GBK"/>
          <w:color w:val="auto"/>
          <w:sz w:val="32"/>
          <w:szCs w:val="32"/>
          <w:lang w:eastAsia="zh-CN"/>
        </w:rPr>
        <w:t>坚持以文塑旅、以旅彰文、文商旅融合发展，通过老城风貌提升、文化特色彰显、重点项目推进、产业能级放大，持续优化发展布局，把老城南打造成为承载南京千年历史、展示城市文化记忆、彰显区域鲜明特色的“特而精、最南京”传统窗口。突出历史文化</w:t>
      </w:r>
      <w:bookmarkEnd w:id="0"/>
      <w:r>
        <w:rPr>
          <w:rFonts w:hint="eastAsia" w:ascii="方正仿宋_GBK" w:hAnsi="方正仿宋_GBK" w:eastAsia="方正仿宋_GBK" w:cs="方正仿宋_GBK"/>
          <w:color w:val="auto"/>
          <w:sz w:val="32"/>
          <w:szCs w:val="32"/>
          <w:lang w:eastAsia="zh-CN"/>
        </w:rPr>
        <w:t>记忆传承和人居环境展示，在空间风貌呈现上，开展“一城一河”文商旅资源整合，着手夫子庙、朝天宫、老门东、老门西、门外片区保护更新和综合整治，着力构建“城脉、水脉、文脉”三位一体的特色空间格局，突出文化底蕴挖掘和名胜佳景串联，突出历史建筑肌理保留和修缮，突出重点片区滨水景观、灯光亮化、公共空间提升，突出城市建筑风貌与历史文物建筑的协调，突出“渐进式”老城保护更新模式创新探索实践，凸显“城、河”一体的城市文化景观特色风貌。集约提升现有园区、景区、街区、楼宇载体资源，提升产业质量，合理布局文旅商产业，推动优势产业集聚发展，构建“品牌引领、文旅商互动、产城融合”发展模式，争当高质量发展排头兵，打造南京美丽古都的人文历史传承标杆和国家文旅产业融合发展新高地。</w:t>
      </w:r>
    </w:p>
    <w:p>
      <w:pPr>
        <w:pStyle w:val="6"/>
        <w:keepNext w:val="0"/>
        <w:keepLines w:val="0"/>
        <w:pageBreakBefore w:val="0"/>
        <w:numPr>
          <w:ilvl w:val="0"/>
          <w:numId w:val="0"/>
        </w:numPr>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（二）“一核五片区”特色定位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color w:val="auto"/>
        </w:rPr>
      </w:pPr>
      <w:r>
        <w:rPr>
          <w:rFonts w:hint="eastAsia" w:eastAsia="仿宋"/>
          <w:color w:val="auto"/>
          <w:sz w:val="32"/>
          <w:szCs w:val="32"/>
          <w:highlight w:val="none"/>
        </w:rPr>
        <w:t>聚焦时代脉络，彰显文化传承</w:t>
      </w:r>
      <w:r>
        <w:rPr>
          <w:rFonts w:hint="eastAsia" w:eastAsia="仿宋"/>
          <w:color w:val="auto"/>
          <w:sz w:val="32"/>
          <w:szCs w:val="32"/>
          <w:highlight w:val="none"/>
          <w:lang w:eastAsia="zh-CN"/>
        </w:rPr>
        <w:t>，</w:t>
      </w:r>
      <w:r>
        <w:rPr>
          <w:rFonts w:eastAsia="仿宋"/>
          <w:color w:val="auto"/>
          <w:sz w:val="32"/>
          <w:szCs w:val="32"/>
          <w:highlight w:val="none"/>
        </w:rPr>
        <w:t>深入研究挖掘秦淮丰富的历史文化资源，展现主题文化特征</w:t>
      </w:r>
      <w:r>
        <w:rPr>
          <w:rFonts w:hint="eastAsia" w:eastAsia="仿宋"/>
          <w:color w:val="auto"/>
          <w:sz w:val="32"/>
          <w:szCs w:val="32"/>
          <w:highlight w:val="none"/>
          <w:lang w:eastAsia="zh-CN"/>
        </w:rPr>
        <w:t>，</w:t>
      </w:r>
      <w:r>
        <w:rPr>
          <w:rFonts w:eastAsia="仿宋"/>
          <w:color w:val="auto"/>
          <w:sz w:val="32"/>
          <w:szCs w:val="32"/>
          <w:highlight w:val="none"/>
        </w:rPr>
        <w:t>推进物质和非物质文化遗产活化利用</w:t>
      </w:r>
      <w:r>
        <w:rPr>
          <w:rFonts w:hint="eastAsia" w:eastAsia="仿宋"/>
          <w:color w:val="auto"/>
          <w:sz w:val="32"/>
          <w:szCs w:val="32"/>
          <w:highlight w:val="none"/>
          <w:lang w:eastAsia="zh-CN"/>
        </w:rPr>
        <w:t>，</w:t>
      </w:r>
      <w:r>
        <w:rPr>
          <w:rFonts w:eastAsia="仿宋"/>
          <w:color w:val="auto"/>
          <w:sz w:val="32"/>
          <w:szCs w:val="32"/>
          <w:highlight w:val="none"/>
        </w:rPr>
        <w:t>推进“一核五片区”布局，深入推进文商旅融合发展，打造彰显古城深厚文化底蕴、南京历史文化名城特质的国际性文化休闲旅游示范地、“全球游”、“全球购”目的地。</w:t>
      </w:r>
      <w:r>
        <w:rPr>
          <w:rFonts w:eastAsia="仿宋"/>
          <w:b/>
          <w:color w:val="auto"/>
          <w:sz w:val="32"/>
          <w:szCs w:val="32"/>
          <w:highlight w:val="none"/>
        </w:rPr>
        <w:t>夫子庙文化旅游核心展示区</w:t>
      </w:r>
      <w:r>
        <w:rPr>
          <w:rFonts w:eastAsia="仿宋"/>
          <w:color w:val="auto"/>
          <w:sz w:val="32"/>
          <w:szCs w:val="32"/>
          <w:highlight w:val="none"/>
        </w:rPr>
        <w:t>聚焦文创、文博特色产业定位，突出儒学和科举文化主轴，联通联动老门东和夫子庙节点，发展</w:t>
      </w:r>
      <w:r>
        <w:rPr>
          <w:rFonts w:hint="eastAsia" w:eastAsia="仿宋"/>
          <w:color w:val="auto"/>
          <w:sz w:val="32"/>
          <w:szCs w:val="32"/>
          <w:highlight w:val="none"/>
          <w:lang w:eastAsia="zh-CN"/>
        </w:rPr>
        <w:t>以</w:t>
      </w:r>
      <w:r>
        <w:rPr>
          <w:rFonts w:eastAsia="仿宋"/>
          <w:color w:val="auto"/>
          <w:sz w:val="32"/>
          <w:szCs w:val="32"/>
          <w:highlight w:val="none"/>
        </w:rPr>
        <w:t>修学、文博等为代表的文化休闲旅游产业。</w:t>
      </w:r>
      <w:r>
        <w:rPr>
          <w:rFonts w:eastAsia="仿宋"/>
          <w:b/>
          <w:color w:val="auto"/>
          <w:sz w:val="32"/>
          <w:szCs w:val="32"/>
          <w:highlight w:val="none"/>
        </w:rPr>
        <w:t>门东城南记忆体验休闲片区</w:t>
      </w:r>
      <w:r>
        <w:rPr>
          <w:rFonts w:eastAsia="仿宋"/>
          <w:color w:val="auto"/>
          <w:sz w:val="32"/>
          <w:szCs w:val="32"/>
          <w:highlight w:val="none"/>
        </w:rPr>
        <w:t>规划布局三条营西食游宿、中营文化展演、明城墙下休闲娱乐带、张家衙小酒馆集群、箍桶巷沿线文创、城墙内侧新媒体短视频基地等六个功能区域，形成多元化文商旅业态分布格局。</w:t>
      </w:r>
      <w:r>
        <w:rPr>
          <w:rFonts w:eastAsia="方正仿宋_GBK"/>
          <w:b/>
          <w:color w:val="auto"/>
          <w:sz w:val="32"/>
          <w:szCs w:val="32"/>
          <w:highlight w:val="none"/>
        </w:rPr>
        <w:t>门西数字生活</w:t>
      </w:r>
      <w:r>
        <w:rPr>
          <w:rFonts w:hint="eastAsia" w:eastAsia="方正仿宋_GBK"/>
          <w:b/>
          <w:color w:val="auto"/>
          <w:sz w:val="32"/>
          <w:szCs w:val="32"/>
          <w:highlight w:val="none"/>
          <w:lang w:eastAsia="zh-CN"/>
        </w:rPr>
        <w:t>认知</w:t>
      </w:r>
      <w:r>
        <w:rPr>
          <w:rFonts w:eastAsia="方正仿宋_GBK"/>
          <w:b/>
          <w:color w:val="auto"/>
          <w:sz w:val="32"/>
          <w:szCs w:val="32"/>
          <w:highlight w:val="none"/>
        </w:rPr>
        <w:t>物联网产业片区</w:t>
      </w:r>
      <w:r>
        <w:rPr>
          <w:rFonts w:eastAsia="方正仿宋_GBK"/>
          <w:color w:val="auto"/>
          <w:sz w:val="32"/>
          <w:szCs w:val="32"/>
          <w:highlight w:val="none"/>
        </w:rPr>
        <w:t>以数字生活街区为定位，依托悦动新门西产业园，聚焦</w:t>
      </w:r>
      <w:r>
        <w:rPr>
          <w:rFonts w:hint="eastAsia" w:eastAsia="方正仿宋_GBK"/>
          <w:color w:val="auto"/>
          <w:sz w:val="32"/>
          <w:szCs w:val="32"/>
          <w:highlight w:val="none"/>
          <w:lang w:eastAsia="zh-CN"/>
        </w:rPr>
        <w:t>认知</w:t>
      </w:r>
      <w:r>
        <w:rPr>
          <w:rFonts w:eastAsia="方正仿宋_GBK"/>
          <w:color w:val="auto"/>
          <w:sz w:val="32"/>
          <w:szCs w:val="32"/>
          <w:highlight w:val="none"/>
        </w:rPr>
        <w:t>物联网产业</w:t>
      </w:r>
      <w:r>
        <w:rPr>
          <w:rFonts w:hint="eastAsia" w:eastAsia="方正仿宋_GBK"/>
          <w:color w:val="auto"/>
          <w:sz w:val="32"/>
          <w:szCs w:val="32"/>
          <w:highlight w:val="none"/>
          <w:lang w:eastAsia="zh-CN"/>
        </w:rPr>
        <w:t>生态基地</w:t>
      </w:r>
      <w:r>
        <w:rPr>
          <w:rFonts w:eastAsia="方正仿宋_GBK"/>
          <w:color w:val="auto"/>
          <w:sz w:val="32"/>
          <w:szCs w:val="32"/>
          <w:highlight w:val="none"/>
        </w:rPr>
        <w:t>，建设门西物联网产业创新融合示范区，打造兼具南京创新名城和美丽古都两种特质的“秦淮硅巷”门西片区。</w:t>
      </w:r>
      <w:r>
        <w:rPr>
          <w:rFonts w:eastAsia="仿宋"/>
          <w:b/>
          <w:color w:val="auto"/>
          <w:sz w:val="32"/>
          <w:szCs w:val="32"/>
          <w:highlight w:val="none"/>
        </w:rPr>
        <w:t>门外历史展示与文创旅游片区</w:t>
      </w:r>
      <w:r>
        <w:rPr>
          <w:rFonts w:eastAsia="仿宋"/>
          <w:color w:val="auto"/>
          <w:sz w:val="32"/>
          <w:szCs w:val="32"/>
          <w:highlight w:val="none"/>
        </w:rPr>
        <w:t>梳理古越城、东晋、宋、明和近代等文化脉络，建成南京的礼仪门户和世界级的文旅景区，形成集中体现南京各个时代文化特质、展现城市发展历史的南京南大门客厅。</w:t>
      </w:r>
      <w:r>
        <w:rPr>
          <w:rFonts w:eastAsia="方正仿宋_GBK"/>
          <w:b/>
          <w:color w:val="auto"/>
          <w:sz w:val="32"/>
          <w:szCs w:val="32"/>
          <w:highlight w:val="none"/>
        </w:rPr>
        <w:t>朝天宫历史风貌与文化综合体验片区</w:t>
      </w:r>
      <w:r>
        <w:rPr>
          <w:rFonts w:eastAsia="方正仿宋_GBK"/>
          <w:color w:val="auto"/>
          <w:sz w:val="32"/>
          <w:szCs w:val="32"/>
          <w:highlight w:val="none"/>
        </w:rPr>
        <w:t>充分挖掘朝天宫“母城”、“冶城”文化，民俗和民族宗教特色，串联朝天宫官式古建筑群、甘熙宅第等资源，</w:t>
      </w:r>
      <w:r>
        <w:rPr>
          <w:rFonts w:hint="eastAsia" w:ascii="方正仿宋_GBK" w:hAnsi="方正仿宋_GBK" w:eastAsia="方正仿宋_GBK" w:cs="方正仿宋_GBK"/>
          <w:color w:val="auto"/>
          <w:sz w:val="32"/>
          <w:szCs w:val="32"/>
        </w:rPr>
        <w:t>通过水陆地铁三条线路联通朝天宫—夫子庙—中华门游线，形成一体化旅游文化片区。</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楷体_GBK" w:hAnsi="方正楷体_GBK" w:eastAsia="方正楷体_GBK" w:cs="方正楷体_GBK"/>
          <w:b/>
          <w:bCs/>
          <w:color w:val="auto"/>
          <w:sz w:val="32"/>
          <w:szCs w:val="32"/>
        </w:rPr>
      </w:pPr>
      <w:r>
        <w:rPr>
          <w:rFonts w:hint="eastAsia" w:ascii="方正黑体_GBK" w:hAnsi="方正黑体_GBK" w:eastAsia="方正黑体_GBK" w:cs="方正黑体_GBK"/>
          <w:color w:val="auto"/>
          <w:sz w:val="32"/>
          <w:szCs w:val="32"/>
          <w:lang w:val="en-US" w:eastAsia="zh-CN"/>
        </w:rPr>
        <w:t>三</w:t>
      </w:r>
      <w:r>
        <w:rPr>
          <w:rFonts w:hint="eastAsia" w:ascii="方正黑体_GBK" w:hAnsi="方正黑体_GBK" w:eastAsia="方正黑体_GBK" w:cs="方正黑体_GBK"/>
          <w:color w:val="auto"/>
          <w:sz w:val="32"/>
          <w:szCs w:val="32"/>
        </w:rPr>
        <w:t>、</w:t>
      </w:r>
      <w:r>
        <w:rPr>
          <w:rFonts w:hint="eastAsia" w:ascii="方正黑体_GBK" w:hAnsi="方正黑体_GBK" w:eastAsia="方正黑体_GBK" w:cs="方正黑体_GBK"/>
          <w:color w:val="auto"/>
          <w:sz w:val="32"/>
          <w:szCs w:val="32"/>
          <w:lang w:eastAsia="zh-CN"/>
        </w:rPr>
        <w:t>发展目标</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ascii="方正楷体_GBK" w:hAnsi="方正楷体_GBK" w:eastAsia="方正楷体_GBK" w:cs="方正楷体_GBK"/>
          <w:b/>
          <w:bCs/>
          <w:color w:val="auto"/>
          <w:sz w:val="32"/>
          <w:szCs w:val="32"/>
        </w:rPr>
      </w:pPr>
      <w:r>
        <w:rPr>
          <w:rFonts w:hint="eastAsia" w:ascii="方正楷体_GBK" w:hAnsi="方正楷体_GBK" w:eastAsia="方正楷体_GBK" w:cs="方正楷体_GBK"/>
          <w:b/>
          <w:bCs/>
          <w:color w:val="auto"/>
          <w:sz w:val="32"/>
          <w:szCs w:val="32"/>
        </w:rPr>
        <w:t>（</w:t>
      </w:r>
      <w:r>
        <w:rPr>
          <w:rFonts w:hint="eastAsia" w:ascii="方正楷体_GBK" w:hAnsi="方正楷体_GBK" w:eastAsia="方正楷体_GBK" w:cs="方正楷体_GBK"/>
          <w:b/>
          <w:bCs/>
          <w:color w:val="auto"/>
          <w:sz w:val="32"/>
          <w:szCs w:val="32"/>
          <w:lang w:eastAsia="zh-CN"/>
        </w:rPr>
        <w:t>一</w:t>
      </w:r>
      <w:r>
        <w:rPr>
          <w:rFonts w:hint="eastAsia" w:ascii="方正楷体_GBK" w:hAnsi="方正楷体_GBK" w:eastAsia="方正楷体_GBK" w:cs="方正楷体_GBK"/>
          <w:b/>
          <w:bCs/>
          <w:color w:val="auto"/>
          <w:sz w:val="32"/>
          <w:szCs w:val="32"/>
        </w:rPr>
        <w:t>）</w:t>
      </w:r>
      <w:r>
        <w:rPr>
          <w:rFonts w:hint="eastAsia" w:ascii="方正楷体_GBK" w:hAnsi="方正楷体_GBK" w:eastAsia="方正楷体_GBK" w:cs="方正楷体_GBK"/>
          <w:b/>
          <w:bCs/>
          <w:color w:val="auto"/>
          <w:sz w:val="32"/>
          <w:szCs w:val="32"/>
          <w:lang w:eastAsia="zh-CN"/>
        </w:rPr>
        <w:t>总体</w:t>
      </w:r>
      <w:r>
        <w:rPr>
          <w:rFonts w:hint="eastAsia" w:ascii="方正楷体_GBK" w:hAnsi="方正楷体_GBK" w:eastAsia="方正楷体_GBK" w:cs="方正楷体_GBK"/>
          <w:b/>
          <w:bCs/>
          <w:color w:val="auto"/>
          <w:sz w:val="32"/>
          <w:szCs w:val="32"/>
        </w:rPr>
        <w:t>目标</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深入推进文旅商产业融合发展</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发挥</w:t>
      </w:r>
      <w:r>
        <w:rPr>
          <w:rFonts w:eastAsia="仿宋"/>
          <w:color w:val="auto"/>
          <w:sz w:val="32"/>
          <w:szCs w:val="32"/>
          <w:highlight w:val="none"/>
        </w:rPr>
        <w:t>文商旅融合转型示范作用</w:t>
      </w:r>
      <w:r>
        <w:rPr>
          <w:rFonts w:hint="eastAsia" w:eastAsia="仿宋"/>
          <w:color w:val="auto"/>
          <w:sz w:val="32"/>
          <w:szCs w:val="32"/>
          <w:highlight w:val="none"/>
          <w:lang w:eastAsia="zh-CN"/>
        </w:rPr>
        <w:t>，</w:t>
      </w:r>
      <w:r>
        <w:rPr>
          <w:rFonts w:hint="eastAsia" w:ascii="方正仿宋_GBK" w:hAnsi="方正仿宋_GBK" w:eastAsia="方正仿宋_GBK" w:cs="方正仿宋_GBK"/>
          <w:color w:val="auto"/>
          <w:sz w:val="32"/>
          <w:szCs w:val="32"/>
        </w:rPr>
        <w:t>创成国家级文旅商融合示范区、国家级文化产业示范</w:t>
      </w:r>
      <w:r>
        <w:rPr>
          <w:rFonts w:hint="eastAsia" w:ascii="方正仿宋_GBK" w:hAnsi="方正仿宋_GBK" w:eastAsia="方正仿宋_GBK" w:cs="方正仿宋_GBK"/>
          <w:color w:val="auto"/>
          <w:sz w:val="32"/>
          <w:szCs w:val="32"/>
          <w:lang w:eastAsia="zh-CN"/>
        </w:rPr>
        <w:t>园</w:t>
      </w:r>
      <w:r>
        <w:rPr>
          <w:rFonts w:hint="eastAsia" w:ascii="方正仿宋_GBK" w:hAnsi="方正仿宋_GBK" w:eastAsia="方正仿宋_GBK" w:cs="方正仿宋_GBK"/>
          <w:color w:val="auto"/>
          <w:sz w:val="32"/>
          <w:szCs w:val="32"/>
        </w:rPr>
        <w:t>区、</w:t>
      </w:r>
      <w:r>
        <w:rPr>
          <w:rFonts w:ascii="方正仿宋_GBK" w:hAnsi="方正仿宋_GBK" w:eastAsia="方正仿宋_GBK" w:cs="方正仿宋_GBK"/>
          <w:color w:val="auto"/>
          <w:sz w:val="32"/>
          <w:szCs w:val="32"/>
        </w:rPr>
        <w:t>国家级夜间文旅消费集聚区</w:t>
      </w:r>
      <w:r>
        <w:rPr>
          <w:rFonts w:hint="eastAsia" w:ascii="方正仿宋_GBK" w:hAnsi="方正仿宋_GBK" w:eastAsia="方正仿宋_GBK" w:cs="方正仿宋_GBK"/>
          <w:color w:val="auto"/>
          <w:sz w:val="32"/>
          <w:szCs w:val="32"/>
        </w:rPr>
        <w:t>。以全国旅游景区管理标杆为目标，提高综合管理精细化水平</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提升行政执法综合效能，完善基础设施配套建设，深入诚信街区建设，切实提升辖区居民与外地游客的舒适度、幸福感与获得感。</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黑体_GBK" w:hAnsi="方正黑体_GBK" w:eastAsia="方正楷体_GBK" w:cs="方正黑体_GBK"/>
          <w:color w:val="auto"/>
          <w:sz w:val="32"/>
          <w:highlight w:val="none"/>
          <w:lang w:eastAsia="zh-CN"/>
        </w:rPr>
      </w:pPr>
      <w:r>
        <w:rPr>
          <w:rFonts w:hint="eastAsia" w:ascii="方正楷体_GBK" w:hAnsi="方正楷体_GBK" w:eastAsia="方正楷体_GBK" w:cs="方正楷体_GBK"/>
          <w:b/>
          <w:bCs/>
          <w:color w:val="auto"/>
          <w:sz w:val="32"/>
          <w:szCs w:val="32"/>
          <w:highlight w:val="none"/>
        </w:rPr>
        <w:t xml:space="preserve"> 1、主要经济指标</w:t>
      </w:r>
      <w:r>
        <w:rPr>
          <w:rFonts w:hint="eastAsia" w:ascii="方正楷体_GBK" w:hAnsi="方正楷体_GBK" w:eastAsia="方正楷体_GBK" w:cs="方正楷体_GBK"/>
          <w:b/>
          <w:bCs/>
          <w:color w:val="auto"/>
          <w:sz w:val="32"/>
          <w:szCs w:val="32"/>
          <w:highlight w:val="none"/>
          <w:lang w:eastAsia="zh-CN"/>
        </w:rPr>
        <w:t>（根据年度核定目标调整）</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eastAsia="仿宋"/>
          <w:color w:val="auto"/>
          <w:sz w:val="32"/>
          <w:szCs w:val="32"/>
          <w:highlight w:val="none"/>
          <w:lang w:eastAsia="zh-CN"/>
        </w:rPr>
      </w:pPr>
      <w:r>
        <w:rPr>
          <w:rFonts w:hint="eastAsia" w:ascii="方正仿宋_GBK" w:hAnsi="方正仿宋_GBK" w:eastAsia="方正仿宋_GBK" w:cs="方正仿宋_GBK"/>
          <w:color w:val="auto"/>
          <w:sz w:val="32"/>
          <w:szCs w:val="32"/>
        </w:rPr>
        <w:t>到2025年，核心区一般公共预算平均增长率达年度要求，累计收入实现</w:t>
      </w:r>
      <w:r>
        <w:rPr>
          <w:rFonts w:hint="eastAsia" w:ascii="方正仿宋_GBK" w:hAnsi="方正仿宋_GBK" w:eastAsia="方正仿宋_GBK" w:cs="方正仿宋_GBK"/>
          <w:color w:val="auto"/>
          <w:sz w:val="32"/>
          <w:szCs w:val="32"/>
          <w:lang w:val="en-US" w:eastAsia="zh-CN"/>
        </w:rPr>
        <w:t>4.1</w:t>
      </w:r>
      <w:r>
        <w:rPr>
          <w:rFonts w:hint="eastAsia" w:ascii="方正仿宋_GBK" w:hAnsi="方正仿宋_GBK" w:eastAsia="方正仿宋_GBK" w:cs="方正仿宋_GBK"/>
          <w:color w:val="auto"/>
          <w:sz w:val="32"/>
          <w:szCs w:val="32"/>
        </w:rPr>
        <w:t>亿元；社会消费品零售年平均同比增幅达8.6%；建筑业产值年平均同比增幅达10%；金融业营业收入年平均同比增幅达10%；限额以上批发业销售额年平均同比增幅达8.6%；限额以上零售业销售额年平均同比增幅达8.6%；限额以上住宿业营业额年平均同比增幅达8.6%；限额以上餐饮业营业额年平均同比增幅达8.6%；规上服务业营业收入年平均同比增幅达8.6%；外贸进出口年平均同比增幅达5%；软件和信息服务业年平均同比增幅达10%；到2025年，累计完成实际利用外资</w:t>
      </w:r>
      <w:r>
        <w:rPr>
          <w:rFonts w:hint="eastAsia" w:ascii="Times New Roman" w:hAnsi="Times New Roman" w:eastAsia="仿宋"/>
          <w:color w:val="auto"/>
          <w:sz w:val="32"/>
          <w:lang w:val="en-US" w:eastAsia="zh-CN"/>
        </w:rPr>
        <w:t>1</w:t>
      </w:r>
      <w:r>
        <w:rPr>
          <w:rFonts w:hint="eastAsia" w:ascii="Times New Roman" w:hAnsi="Times New Roman" w:eastAsia="仿宋"/>
          <w:color w:val="auto"/>
          <w:sz w:val="32"/>
        </w:rPr>
        <w:t>.</w:t>
      </w:r>
      <w:r>
        <w:rPr>
          <w:rFonts w:hint="eastAsia" w:ascii="Times New Roman" w:hAnsi="Times New Roman" w:eastAsia="仿宋"/>
          <w:color w:val="auto"/>
          <w:sz w:val="32"/>
          <w:lang w:val="en-US" w:eastAsia="zh-CN"/>
        </w:rPr>
        <w:t>7</w:t>
      </w:r>
      <w:r>
        <w:rPr>
          <w:rFonts w:hint="eastAsia" w:ascii="方正仿宋_GBK" w:hAnsi="方正仿宋_GBK" w:eastAsia="方正仿宋_GBK" w:cs="方正仿宋_GBK"/>
          <w:color w:val="auto"/>
          <w:sz w:val="32"/>
          <w:szCs w:val="32"/>
        </w:rPr>
        <w:t>亿美元</w:t>
      </w:r>
      <w:r>
        <w:rPr>
          <w:rFonts w:hint="eastAsia" w:ascii="方正仿宋_GBK" w:hAnsi="方正仿宋_GBK" w:eastAsia="方正仿宋_GBK" w:cs="方正仿宋_GBK"/>
          <w:color w:val="auto"/>
          <w:sz w:val="32"/>
          <w:szCs w:val="32"/>
          <w:lang w:eastAsia="zh-CN"/>
        </w:rPr>
        <w:t>；累计实现</w:t>
      </w:r>
      <w:r>
        <w:rPr>
          <w:rFonts w:eastAsia="仿宋"/>
          <w:color w:val="auto"/>
          <w:sz w:val="32"/>
          <w:szCs w:val="32"/>
          <w:highlight w:val="none"/>
        </w:rPr>
        <w:t>固定资产投资1</w:t>
      </w:r>
      <w:r>
        <w:rPr>
          <w:rFonts w:hint="eastAsia" w:eastAsia="仿宋"/>
          <w:color w:val="auto"/>
          <w:sz w:val="32"/>
          <w:szCs w:val="32"/>
          <w:highlight w:val="none"/>
          <w:lang w:val="en-US" w:eastAsia="zh-CN"/>
        </w:rPr>
        <w:t>4</w:t>
      </w:r>
      <w:r>
        <w:rPr>
          <w:rFonts w:eastAsia="仿宋"/>
          <w:color w:val="auto"/>
          <w:sz w:val="32"/>
          <w:szCs w:val="32"/>
          <w:highlight w:val="none"/>
        </w:rPr>
        <w:t>0亿元</w:t>
      </w:r>
      <w:r>
        <w:rPr>
          <w:rFonts w:hint="eastAsia" w:eastAsia="仿宋"/>
          <w:color w:val="auto"/>
          <w:sz w:val="32"/>
          <w:szCs w:val="32"/>
          <w:highlight w:val="none"/>
          <w:lang w:eastAsia="zh-CN"/>
        </w:rPr>
        <w:t>。</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2、特色发展指标</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ascii="方正仿宋_GBK" w:hAnsi="方正仿宋_GBK" w:eastAsia="方正仿宋_GBK" w:cs="方正仿宋_GBK"/>
          <w:color w:val="auto"/>
          <w:sz w:val="32"/>
          <w:szCs w:val="32"/>
        </w:rPr>
      </w:pPr>
      <w:bookmarkStart w:id="1" w:name="_Toc60466265"/>
      <w:r>
        <w:rPr>
          <w:rFonts w:hint="eastAsia" w:ascii="方正仿宋_GBK" w:hAnsi="方正仿宋_GBK" w:eastAsia="方正仿宋_GBK" w:cs="方正仿宋_GBK"/>
          <w:color w:val="auto"/>
          <w:sz w:val="32"/>
          <w:szCs w:val="32"/>
        </w:rPr>
        <w:t>加快建设</w:t>
      </w:r>
      <w:r>
        <w:rPr>
          <w:rFonts w:hint="eastAsia" w:ascii="方正仿宋_GBK" w:hAnsi="方正仿宋_GBK" w:eastAsia="方正仿宋_GBK" w:cs="方正仿宋_GBK"/>
          <w:color w:val="auto"/>
          <w:sz w:val="32"/>
          <w:szCs w:val="32"/>
          <w:lang w:eastAsia="zh-CN"/>
        </w:rPr>
        <w:t>一批</w:t>
      </w:r>
      <w:r>
        <w:rPr>
          <w:rFonts w:hint="eastAsia" w:ascii="方正仿宋_GBK" w:hAnsi="方正仿宋_GBK" w:eastAsia="方正仿宋_GBK" w:cs="方正仿宋_GBK"/>
          <w:color w:val="auto"/>
          <w:sz w:val="32"/>
          <w:szCs w:val="32"/>
        </w:rPr>
        <w:t>文化地标</w:t>
      </w:r>
      <w:bookmarkEnd w:id="1"/>
      <w:r>
        <w:rPr>
          <w:rFonts w:hint="eastAsia" w:ascii="方正仿宋_GBK" w:hAnsi="方正仿宋_GBK" w:eastAsia="方正仿宋_GBK" w:cs="方正仿宋_GBK"/>
          <w:color w:val="auto"/>
          <w:sz w:val="32"/>
          <w:szCs w:val="32"/>
          <w:lang w:eastAsia="zh-CN"/>
        </w:rPr>
        <w:t>和文旅商融合发展项目，</w:t>
      </w:r>
      <w:r>
        <w:rPr>
          <w:rFonts w:hint="eastAsia" w:ascii="方正仿宋_GBK" w:hAnsi="方正仿宋_GBK" w:eastAsia="方正仿宋_GBK" w:cs="方正仿宋_GBK"/>
          <w:color w:val="auto"/>
          <w:sz w:val="32"/>
          <w:szCs w:val="32"/>
        </w:rPr>
        <w:t>加快推进西街、门东双塘园历史风貌区、门西、西五华里、科举博物馆二期等标志性项目，建成开放明城墙博物馆</w:t>
      </w:r>
      <w:r>
        <w:rPr>
          <w:rFonts w:hint="eastAsia" w:ascii="方正仿宋_GBK" w:hAnsi="方正仿宋_GBK" w:eastAsia="方正仿宋_GBK" w:cs="方正仿宋_GBK"/>
          <w:color w:val="auto"/>
          <w:sz w:val="32"/>
          <w:szCs w:val="32"/>
          <w:lang w:eastAsia="zh-CN"/>
        </w:rPr>
        <w:t>等</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到2025年，计划安排</w:t>
      </w:r>
      <w:r>
        <w:rPr>
          <w:rFonts w:hint="eastAsia" w:ascii="方正仿宋_GBK" w:hAnsi="方正仿宋_GBK" w:eastAsia="方正仿宋_GBK" w:cs="方正仿宋_GBK"/>
          <w:color w:val="auto"/>
          <w:sz w:val="32"/>
          <w:szCs w:val="32"/>
          <w:lang w:val="en-US" w:eastAsia="zh-CN"/>
        </w:rPr>
        <w:t>29个重点项目，其中：</w:t>
      </w:r>
      <w:r>
        <w:rPr>
          <w:rFonts w:hint="eastAsia" w:ascii="方正仿宋_GBK" w:hAnsi="方正仿宋_GBK" w:eastAsia="方正仿宋_GBK" w:cs="方正仿宋_GBK"/>
          <w:color w:val="auto"/>
          <w:sz w:val="32"/>
          <w:szCs w:val="32"/>
          <w:lang w:eastAsia="zh-CN"/>
        </w:rPr>
        <w:t>新开工项目</w:t>
      </w:r>
      <w:r>
        <w:rPr>
          <w:rFonts w:hint="eastAsia" w:ascii="方正仿宋_GBK" w:hAnsi="方正仿宋_GBK" w:eastAsia="方正仿宋_GBK" w:cs="方正仿宋_GBK"/>
          <w:color w:val="auto"/>
          <w:sz w:val="32"/>
          <w:szCs w:val="32"/>
          <w:lang w:val="en-US" w:eastAsia="zh-CN"/>
        </w:rPr>
        <w:t>11个，续建项目9个，储备项目9个</w:t>
      </w:r>
      <w:r>
        <w:rPr>
          <w:rFonts w:hint="eastAsia" w:ascii="方正仿宋_GBK" w:hAnsi="方正仿宋_GBK" w:eastAsia="方正仿宋_GBK" w:cs="方正仿宋_GBK"/>
          <w:color w:val="auto"/>
          <w:sz w:val="32"/>
          <w:szCs w:val="32"/>
          <w:lang w:eastAsia="zh-CN"/>
        </w:rPr>
        <w:t>；期末</w:t>
      </w:r>
      <w:r>
        <w:rPr>
          <w:rFonts w:hint="eastAsia" w:ascii="方正仿宋_GBK" w:hAnsi="方正仿宋_GBK" w:eastAsia="方正仿宋_GBK" w:cs="方正仿宋_GBK"/>
          <w:color w:val="auto"/>
          <w:sz w:val="32"/>
          <w:szCs w:val="32"/>
        </w:rPr>
        <w:t>文化产业增加值</w:t>
      </w:r>
      <w:r>
        <w:rPr>
          <w:rFonts w:hint="eastAsia" w:ascii="方正仿宋_GBK" w:hAnsi="方正仿宋_GBK" w:eastAsia="方正仿宋_GBK" w:cs="方正仿宋_GBK"/>
          <w:color w:val="auto"/>
          <w:sz w:val="32"/>
          <w:szCs w:val="32"/>
          <w:lang w:eastAsia="zh-CN"/>
        </w:rPr>
        <w:t>年度增幅达</w:t>
      </w:r>
      <w:r>
        <w:rPr>
          <w:rFonts w:hint="eastAsia" w:ascii="方正仿宋_GBK" w:hAnsi="方正仿宋_GBK" w:eastAsia="方正仿宋_GBK" w:cs="方正仿宋_GBK"/>
          <w:color w:val="auto"/>
          <w:sz w:val="32"/>
          <w:szCs w:val="32"/>
          <w:lang w:val="en-US" w:eastAsia="zh-CN"/>
        </w:rPr>
        <w:t>15%</w:t>
      </w:r>
      <w:r>
        <w:rPr>
          <w:rFonts w:hint="eastAsia" w:ascii="方正仿宋_GBK" w:hAnsi="方正仿宋_GBK" w:eastAsia="方正仿宋_GBK" w:cs="方正仿宋_GBK"/>
          <w:color w:val="auto"/>
          <w:sz w:val="32"/>
          <w:szCs w:val="32"/>
          <w:lang w:eastAsia="zh-CN"/>
        </w:rPr>
        <w:t>；五年</w:t>
      </w:r>
      <w:r>
        <w:rPr>
          <w:rFonts w:hint="eastAsia" w:ascii="方正仿宋_GBK" w:hAnsi="方正仿宋_GBK" w:eastAsia="方正仿宋_GBK" w:cs="方正仿宋_GBK"/>
          <w:color w:val="auto"/>
          <w:sz w:val="32"/>
          <w:szCs w:val="32"/>
        </w:rPr>
        <w:t>累计新增规模企业</w:t>
      </w: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0</w:t>
      </w:r>
      <w:r>
        <w:rPr>
          <w:rFonts w:hint="eastAsia" w:ascii="方正仿宋_GBK" w:hAnsi="方正仿宋_GBK" w:eastAsia="方正仿宋_GBK" w:cs="方正仿宋_GBK"/>
          <w:color w:val="auto"/>
          <w:sz w:val="32"/>
          <w:szCs w:val="32"/>
          <w:lang w:eastAsia="zh-CN"/>
        </w:rPr>
        <w:t>家</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新增到账千万元以上企业40家</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新增区域性总部或龙头企业10家。</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楷体_GBK" w:hAnsi="方正楷体_GBK" w:eastAsia="方正楷体_GBK" w:cs="方正楷体_GBK"/>
          <w:b/>
          <w:bCs/>
          <w:color w:val="auto"/>
          <w:sz w:val="32"/>
          <w:szCs w:val="32"/>
        </w:rPr>
      </w:pPr>
      <w:r>
        <w:rPr>
          <w:rFonts w:hint="eastAsia" w:ascii="方正楷体_GBK" w:hAnsi="方正楷体_GBK" w:eastAsia="方正楷体_GBK" w:cs="方正楷体_GBK"/>
          <w:b/>
          <w:bCs/>
          <w:color w:val="auto"/>
          <w:sz w:val="32"/>
          <w:szCs w:val="32"/>
          <w:lang w:val="en-US" w:eastAsia="zh-CN"/>
        </w:rPr>
        <w:t>3</w:t>
      </w:r>
      <w:r>
        <w:rPr>
          <w:rFonts w:hint="eastAsia" w:ascii="方正楷体_GBK" w:hAnsi="方正楷体_GBK" w:eastAsia="方正楷体_GBK" w:cs="方正楷体_GBK"/>
          <w:b/>
          <w:bCs/>
          <w:color w:val="auto"/>
          <w:sz w:val="32"/>
          <w:szCs w:val="32"/>
        </w:rPr>
        <w:t>、</w:t>
      </w:r>
      <w:r>
        <w:rPr>
          <w:rFonts w:hint="eastAsia" w:ascii="方正楷体_GBK" w:hAnsi="方正楷体_GBK" w:eastAsia="方正楷体_GBK" w:cs="方正楷体_GBK"/>
          <w:b/>
          <w:bCs/>
          <w:color w:val="auto"/>
          <w:sz w:val="32"/>
          <w:szCs w:val="32"/>
          <w:lang w:eastAsia="zh-CN"/>
        </w:rPr>
        <w:t>“争当表率、争做示范、走在前列”</w:t>
      </w:r>
      <w:r>
        <w:rPr>
          <w:rFonts w:hint="eastAsia" w:ascii="方正楷体_GBK" w:hAnsi="方正楷体_GBK" w:eastAsia="方正楷体_GBK" w:cs="方正楷体_GBK"/>
          <w:b/>
          <w:bCs/>
          <w:color w:val="auto"/>
          <w:sz w:val="32"/>
          <w:szCs w:val="32"/>
        </w:rPr>
        <w:t>指标</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夫子庙全国示范步行街做全国性标竿</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持续推进夫子庙步行街改造提升工作</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进一步扩大街区范围</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第一期重点实施琵琶街步行化改造，步行街全长从1284米扩大到2020米，占地面积从36万平方米增加到41万平方</w:t>
      </w:r>
      <w:bookmarkStart w:id="3" w:name="_GoBack"/>
      <w:bookmarkEnd w:id="3"/>
      <w:r>
        <w:rPr>
          <w:rFonts w:hint="eastAsia" w:ascii="方正仿宋_GBK" w:hAnsi="方正仿宋_GBK" w:eastAsia="方正仿宋_GBK" w:cs="方正仿宋_GBK"/>
          <w:color w:val="auto"/>
          <w:sz w:val="32"/>
          <w:szCs w:val="32"/>
        </w:rPr>
        <w:t>米</w:t>
      </w:r>
      <w:r>
        <w:rPr>
          <w:rFonts w:hint="eastAsia" w:ascii="方正仿宋_GBK" w:hAnsi="方正仿宋_GBK" w:eastAsia="方正仿宋_GBK" w:cs="方正仿宋_GBK"/>
          <w:color w:val="auto"/>
          <w:sz w:val="32"/>
          <w:szCs w:val="32"/>
          <w:lang w:eastAsia="zh-CN"/>
        </w:rPr>
        <w:t>，精心打造音乐主题网红“</w:t>
      </w:r>
      <w:r>
        <w:rPr>
          <w:rFonts w:hint="eastAsia" w:ascii="方正仿宋_GBK" w:hAnsi="方正仿宋_GBK" w:eastAsia="方正仿宋_GBK" w:cs="方正仿宋_GBK"/>
          <w:color w:val="auto"/>
          <w:sz w:val="32"/>
          <w:szCs w:val="32"/>
          <w:lang w:val="en-US" w:eastAsia="zh-CN"/>
        </w:rPr>
        <w:t>MO音琵琶街</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。第二期重点实施来燕路、箍桶巷道路改造，打通夫子庙与老门东的联</w:t>
      </w:r>
      <w:r>
        <w:rPr>
          <w:rFonts w:hint="eastAsia" w:ascii="方正仿宋_GBK" w:hAnsi="方正仿宋_GBK" w:eastAsia="方正仿宋_GBK" w:cs="方正仿宋_GBK"/>
          <w:color w:val="auto"/>
          <w:sz w:val="32"/>
          <w:szCs w:val="32"/>
          <w:lang w:eastAsia="zh-CN"/>
        </w:rPr>
        <w:t>接</w:t>
      </w:r>
      <w:r>
        <w:rPr>
          <w:rFonts w:hint="eastAsia" w:ascii="方正仿宋_GBK" w:hAnsi="方正仿宋_GBK" w:eastAsia="方正仿宋_GBK" w:cs="方正仿宋_GBK"/>
          <w:color w:val="auto"/>
          <w:sz w:val="32"/>
          <w:szCs w:val="32"/>
        </w:rPr>
        <w:t>通道，老沃尔玛地块产业定位</w:t>
      </w:r>
      <w:r>
        <w:rPr>
          <w:rFonts w:hint="eastAsia" w:ascii="方正仿宋_GBK" w:hAnsi="方正仿宋_GBK" w:eastAsia="方正仿宋_GBK" w:cs="方正仿宋_GBK"/>
          <w:color w:val="auto"/>
          <w:sz w:val="32"/>
          <w:szCs w:val="32"/>
          <w:lang w:eastAsia="zh-CN"/>
        </w:rPr>
        <w:t>调整升级，加快研究</w:t>
      </w:r>
      <w:r>
        <w:rPr>
          <w:rFonts w:hint="eastAsia" w:ascii="方正仿宋_GBK" w:hAnsi="方正仿宋_GBK" w:eastAsia="方正仿宋_GBK" w:cs="方正仿宋_GBK"/>
          <w:color w:val="auto"/>
          <w:sz w:val="32"/>
          <w:szCs w:val="32"/>
        </w:rPr>
        <w:t>导流方式，</w:t>
      </w:r>
      <w:r>
        <w:rPr>
          <w:rFonts w:hint="eastAsia" w:ascii="方正仿宋_GBK" w:hAnsi="方正仿宋_GBK" w:eastAsia="方正仿宋_GBK" w:cs="方正仿宋_GBK"/>
          <w:color w:val="auto"/>
          <w:sz w:val="32"/>
          <w:szCs w:val="32"/>
          <w:lang w:eastAsia="zh-CN"/>
        </w:rPr>
        <w:t>推动</w:t>
      </w:r>
      <w:r>
        <w:rPr>
          <w:rFonts w:hint="eastAsia" w:ascii="方正仿宋_GBK" w:hAnsi="方正仿宋_GBK" w:eastAsia="方正仿宋_GBK" w:cs="方正仿宋_GBK"/>
          <w:color w:val="auto"/>
          <w:sz w:val="32"/>
          <w:szCs w:val="32"/>
        </w:rPr>
        <w:t>两个步行街区融为一体。</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color w:val="auto"/>
          <w:lang w:val="en-US" w:eastAsia="zh-CN"/>
        </w:rPr>
      </w:pPr>
      <w:r>
        <w:rPr>
          <w:rFonts w:hint="eastAsia" w:ascii="方正仿宋_GBK" w:hAnsi="方正仿宋_GBK" w:eastAsia="方正仿宋_GBK" w:cs="方正仿宋_GBK"/>
          <w:color w:val="auto"/>
          <w:sz w:val="32"/>
          <w:szCs w:val="32"/>
        </w:rPr>
        <w:t>坚持“国家级文旅融合发展示范区、全国旅游标准化示范区为牵引，国家级夜间文旅消费集聚区、国家级文化产业示范园区”四区同创发展目标，贯彻落实秦淮区“文化引领、文旅融合、城景一体、主客共享”全域旅游发展之路。围绕文商旅深度融合创建国家级夜间文旅消费集聚区，打造夫子庙、老门东等两个夜间经济集聚区。以促进特色园区升级和融合发展为抓手创建国家级文化产业示范园区，加快板块文化产业</w:t>
      </w:r>
      <w:r>
        <w:rPr>
          <w:rFonts w:hint="eastAsia" w:ascii="方正仿宋_GBK" w:hAnsi="方正仿宋_GBK" w:eastAsia="方正仿宋_GBK" w:cs="方正仿宋_GBK"/>
          <w:color w:val="auto"/>
          <w:sz w:val="32"/>
          <w:szCs w:val="32"/>
          <w:lang w:eastAsia="zh-CN"/>
        </w:rPr>
        <w:t>蓬勃</w:t>
      </w:r>
      <w:r>
        <w:rPr>
          <w:rFonts w:hint="eastAsia" w:ascii="方正仿宋_GBK" w:hAnsi="方正仿宋_GBK" w:eastAsia="方正仿宋_GBK" w:cs="方正仿宋_GBK"/>
          <w:color w:val="auto"/>
          <w:sz w:val="32"/>
          <w:szCs w:val="32"/>
        </w:rPr>
        <w:t>发展，打造</w:t>
      </w:r>
      <w:r>
        <w:rPr>
          <w:rFonts w:hint="eastAsia" w:ascii="方正仿宋_GBK" w:hAnsi="方正仿宋_GBK" w:eastAsia="方正仿宋_GBK" w:cs="方正仿宋_GBK"/>
          <w:color w:val="auto"/>
          <w:sz w:val="32"/>
          <w:szCs w:val="32"/>
          <w:lang w:eastAsia="zh-CN"/>
        </w:rPr>
        <w:t>国内</w:t>
      </w:r>
      <w:r>
        <w:rPr>
          <w:rFonts w:hint="eastAsia" w:ascii="方正仿宋_GBK" w:hAnsi="方正仿宋_GBK" w:eastAsia="方正仿宋_GBK" w:cs="方正仿宋_GBK"/>
          <w:color w:val="auto"/>
          <w:sz w:val="32"/>
          <w:szCs w:val="32"/>
        </w:rPr>
        <w:t>知名</w:t>
      </w:r>
      <w:r>
        <w:rPr>
          <w:rFonts w:hint="eastAsia" w:ascii="方正仿宋_GBK" w:hAnsi="方正仿宋_GBK" w:eastAsia="方正仿宋_GBK" w:cs="方正仿宋_GBK"/>
          <w:color w:val="auto"/>
          <w:sz w:val="32"/>
          <w:szCs w:val="32"/>
          <w:lang w:eastAsia="zh-CN"/>
        </w:rPr>
        <w:t>的</w:t>
      </w:r>
      <w:r>
        <w:rPr>
          <w:rFonts w:hint="eastAsia" w:ascii="方正仿宋_GBK" w:hAnsi="方正仿宋_GBK" w:eastAsia="方正仿宋_GBK" w:cs="方正仿宋_GBK"/>
          <w:color w:val="auto"/>
          <w:sz w:val="32"/>
          <w:szCs w:val="32"/>
        </w:rPr>
        <w:t>文化产业示范园区。</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b/>
          <w:bCs/>
          <w:color w:val="auto"/>
          <w:sz w:val="32"/>
          <w:szCs w:val="32"/>
        </w:rPr>
        <w:t>（</w:t>
      </w:r>
      <w:r>
        <w:rPr>
          <w:rFonts w:hint="eastAsia" w:ascii="方正楷体_GBK" w:hAnsi="方正楷体_GBK" w:eastAsia="方正楷体_GBK" w:cs="方正楷体_GBK"/>
          <w:b/>
          <w:bCs/>
          <w:color w:val="auto"/>
          <w:sz w:val="32"/>
          <w:szCs w:val="32"/>
          <w:lang w:eastAsia="zh-CN"/>
        </w:rPr>
        <w:t>二</w:t>
      </w:r>
      <w:r>
        <w:rPr>
          <w:rFonts w:hint="eastAsia" w:ascii="方正楷体_GBK" w:hAnsi="方正楷体_GBK" w:eastAsia="方正楷体_GBK" w:cs="方正楷体_GBK"/>
          <w:b/>
          <w:bCs/>
          <w:color w:val="auto"/>
          <w:sz w:val="32"/>
          <w:szCs w:val="32"/>
        </w:rPr>
        <w:t>）</w:t>
      </w:r>
      <w:r>
        <w:rPr>
          <w:rFonts w:hint="eastAsia" w:ascii="方正楷体_GBK" w:hAnsi="方正楷体_GBK" w:eastAsia="方正楷体_GBK" w:cs="方正楷体_GBK"/>
          <w:b/>
          <w:bCs/>
          <w:color w:val="auto"/>
          <w:sz w:val="32"/>
          <w:szCs w:val="32"/>
          <w:lang w:eastAsia="zh-CN"/>
        </w:rPr>
        <w:t>分年度</w:t>
      </w:r>
      <w:r>
        <w:rPr>
          <w:rFonts w:hint="eastAsia" w:ascii="方正楷体_GBK" w:hAnsi="方正楷体_GBK" w:eastAsia="方正楷体_GBK" w:cs="方正楷体_GBK"/>
          <w:b/>
          <w:bCs/>
          <w:color w:val="auto"/>
          <w:sz w:val="32"/>
          <w:szCs w:val="32"/>
        </w:rPr>
        <w:t>目标</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——2021年，加快规模建设和</w:t>
      </w:r>
      <w:r>
        <w:rPr>
          <w:rFonts w:hint="eastAsia" w:ascii="方正仿宋_GBK" w:hAnsi="方正仿宋_GBK" w:eastAsia="方正仿宋_GBK" w:cs="方正仿宋_GBK"/>
          <w:color w:val="auto"/>
          <w:sz w:val="32"/>
          <w:szCs w:val="32"/>
          <w:lang w:eastAsia="zh-CN"/>
        </w:rPr>
        <w:t>高品质</w:t>
      </w:r>
      <w:r>
        <w:rPr>
          <w:rFonts w:hint="eastAsia" w:ascii="方正仿宋_GBK" w:hAnsi="方正仿宋_GBK" w:eastAsia="方正仿宋_GBK" w:cs="方正仿宋_GBK"/>
          <w:color w:val="auto"/>
          <w:sz w:val="32"/>
          <w:szCs w:val="32"/>
        </w:rPr>
        <w:t>提升阶段。聚焦打造文旅商融合发展的旅游目的地、产业集聚地和形象展示地。深化文旅产业供给侧结构性改革，创造新供给，释放新潜力，激活新消费，巩固全国示范步行街</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全国旅游标准化示范区创建成果，持续开展改造提升工作，5A级景区验收提升，推进创建国家文化产业和旅游产业融合发展示范区、国家级夜间文旅消费集聚区，国家级文化产业示范园区。</w:t>
      </w:r>
      <w:r>
        <w:rPr>
          <w:rFonts w:hint="eastAsia" w:ascii="方正仿宋_GBK" w:hAnsi="方正仿宋_GBK" w:eastAsia="方正仿宋_GBK" w:cs="方正仿宋_GBK"/>
          <w:color w:val="auto"/>
          <w:sz w:val="32"/>
          <w:szCs w:val="32"/>
          <w:lang w:eastAsia="zh-CN"/>
        </w:rPr>
        <w:t>加强与新疆乌鲁木齐水磨沟合作共建，促进园区合作交流。</w:t>
      </w:r>
      <w:r>
        <w:rPr>
          <w:rFonts w:hint="eastAsia" w:ascii="方正仿宋_GBK" w:hAnsi="方正仿宋_GBK" w:eastAsia="方正仿宋_GBK" w:cs="方正仿宋_GBK"/>
          <w:color w:val="auto"/>
          <w:sz w:val="32"/>
          <w:szCs w:val="32"/>
        </w:rPr>
        <w:t>深入推进文旅产业融合发展，地区游览品质、消费业态、智能服务、营销模式等全面提升，文化、旅游、商贸与创意、科技、金融、娱乐等深度融合，建成1-2个国内领先、世界知名的文旅融合发展街区（园区）、2-3个特色文旅融合发展街区（园区），通过培育与引进打造不少于5家全国行业领先的文旅企业。</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——2022-2023年，</w:t>
      </w:r>
      <w:r>
        <w:rPr>
          <w:rFonts w:hint="eastAsia" w:ascii="方正仿宋_GBK" w:hAnsi="方正仿宋_GBK" w:eastAsia="方正仿宋_GBK" w:cs="方正仿宋_GBK"/>
          <w:color w:val="auto"/>
          <w:sz w:val="32"/>
          <w:szCs w:val="32"/>
          <w:lang w:eastAsia="zh-CN"/>
        </w:rPr>
        <w:t>高质量发展和</w:t>
      </w:r>
      <w:r>
        <w:rPr>
          <w:rFonts w:hint="eastAsia" w:ascii="方正仿宋_GBK" w:hAnsi="方正仿宋_GBK" w:eastAsia="方正仿宋_GBK" w:cs="方正仿宋_GBK"/>
          <w:color w:val="auto"/>
          <w:sz w:val="32"/>
          <w:szCs w:val="32"/>
        </w:rPr>
        <w:t>阶段性成果显现。国家文化产业和旅游产业融合发展示范区、国家级夜间文旅消费集聚区创建取得阶段性成果，</w:t>
      </w:r>
      <w:r>
        <w:rPr>
          <w:rFonts w:hint="eastAsia" w:ascii="方正仿宋_GBK" w:hAnsi="方正仿宋_GBK" w:eastAsia="方正仿宋_GBK" w:cs="方正仿宋_GBK"/>
          <w:color w:val="auto"/>
          <w:sz w:val="32"/>
          <w:szCs w:val="32"/>
          <w:lang w:eastAsia="zh-CN"/>
        </w:rPr>
        <w:t>创成全国文化产业示范园区，</w:t>
      </w:r>
      <w:r>
        <w:rPr>
          <w:rFonts w:hint="eastAsia" w:ascii="方正仿宋_GBK" w:hAnsi="方正仿宋_GBK" w:eastAsia="方正仿宋_GBK" w:cs="方正仿宋_GBK"/>
          <w:color w:val="auto"/>
          <w:sz w:val="32"/>
          <w:szCs w:val="32"/>
        </w:rPr>
        <w:t>夫子庙核心区年度客流量突破6000万人次，文化产业增加值</w:t>
      </w:r>
      <w:r>
        <w:rPr>
          <w:rFonts w:hint="eastAsia" w:ascii="方正仿宋_GBK" w:hAnsi="方正仿宋_GBK" w:eastAsia="方正仿宋_GBK" w:cs="方正仿宋_GBK"/>
          <w:color w:val="auto"/>
          <w:sz w:val="32"/>
          <w:szCs w:val="32"/>
          <w:lang w:eastAsia="zh-CN"/>
        </w:rPr>
        <w:t>年度增幅达</w:t>
      </w:r>
      <w:r>
        <w:rPr>
          <w:rFonts w:hint="eastAsia" w:ascii="方正仿宋_GBK" w:hAnsi="方正仿宋_GBK" w:eastAsia="方正仿宋_GBK" w:cs="方正仿宋_GBK"/>
          <w:color w:val="auto"/>
          <w:sz w:val="32"/>
          <w:szCs w:val="32"/>
          <w:lang w:val="en-US" w:eastAsia="zh-CN"/>
        </w:rPr>
        <w:t>15%</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文旅消费占社会消费品零售总额比重30%以上。</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国际消费中心城市创建工程</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加快培育建设国际消费中心城市，建设新型消费商圈</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基本建成传承中华文化的“全球游”、“全球购”目的地，初步形成以国内大循环为主体、国内国际双循环相互促进的新发展格局。</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color w:val="auto"/>
        </w:rPr>
      </w:pPr>
      <w:r>
        <w:rPr>
          <w:rFonts w:hint="eastAsia" w:ascii="方正仿宋_GBK" w:hAnsi="方正仿宋_GBK" w:eastAsia="方正仿宋_GBK" w:cs="方正仿宋_GBK"/>
          <w:color w:val="auto"/>
          <w:sz w:val="32"/>
          <w:szCs w:val="32"/>
        </w:rPr>
        <w:t>——2024-2025年，进入国际知名和魅力彰显阶段。具体目标：加快推进文化旅游产业重大项目，老城南板块累计</w:t>
      </w:r>
      <w:r>
        <w:rPr>
          <w:rFonts w:hint="eastAsia" w:ascii="方正仿宋_GBK" w:hAnsi="方正仿宋_GBK" w:eastAsia="方正仿宋_GBK" w:cs="方正仿宋_GBK"/>
          <w:color w:val="auto"/>
          <w:sz w:val="32"/>
          <w:szCs w:val="32"/>
          <w:lang w:eastAsia="zh-CN"/>
        </w:rPr>
        <w:t>产业项目</w:t>
      </w:r>
      <w:r>
        <w:rPr>
          <w:rFonts w:hint="eastAsia" w:ascii="方正仿宋_GBK" w:hAnsi="方正仿宋_GBK" w:eastAsia="方正仿宋_GBK" w:cs="方正仿宋_GBK"/>
          <w:color w:val="auto"/>
          <w:sz w:val="32"/>
          <w:szCs w:val="32"/>
        </w:rPr>
        <w:t>固定资产投资实现</w:t>
      </w:r>
      <w:r>
        <w:rPr>
          <w:rFonts w:hint="eastAsia" w:ascii="方正仿宋_GBK" w:hAnsi="方正仿宋_GBK" w:eastAsia="方正仿宋_GBK" w:cs="方正仿宋_GBK"/>
          <w:color w:val="auto"/>
          <w:sz w:val="32"/>
          <w:szCs w:val="32"/>
          <w:lang w:val="en-US" w:eastAsia="zh-CN"/>
        </w:rPr>
        <w:t>140</w:t>
      </w:r>
      <w:r>
        <w:rPr>
          <w:rFonts w:hint="eastAsia" w:ascii="方正仿宋_GBK" w:hAnsi="方正仿宋_GBK" w:eastAsia="方正仿宋_GBK" w:cs="方正仿宋_GBK"/>
          <w:color w:val="auto"/>
          <w:sz w:val="32"/>
          <w:szCs w:val="32"/>
        </w:rPr>
        <w:t>亿元；园区文化产业税收年均增幅超过全区税收增幅2个百分点，年税收超亿元文化园区达到3家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规划建设全域统筹和专业化管理实现品质提升，景区管理提高共享管理水平，</w:t>
      </w:r>
      <w:r>
        <w:rPr>
          <w:rFonts w:hint="eastAsia" w:ascii="方正仿宋_GBK" w:hAnsi="方正仿宋_GBK" w:eastAsia="方正仿宋_GBK" w:cs="方正仿宋_GBK"/>
          <w:color w:val="auto"/>
          <w:sz w:val="32"/>
          <w:szCs w:val="32"/>
          <w:lang w:eastAsia="zh-CN"/>
        </w:rPr>
        <w:t>实现夫子庙</w:t>
      </w:r>
      <w:r>
        <w:rPr>
          <w:rFonts w:hint="eastAsia" w:ascii="方正仿宋_GBK" w:hAnsi="方正仿宋_GBK" w:eastAsia="方正仿宋_GBK" w:cs="方正仿宋_GBK"/>
          <w:color w:val="auto"/>
          <w:sz w:val="32"/>
          <w:szCs w:val="32"/>
          <w:lang w:val="en-US" w:eastAsia="zh-CN"/>
        </w:rPr>
        <w:t>-老门东一体化管理，</w:t>
      </w:r>
      <w:r>
        <w:rPr>
          <w:rFonts w:hint="eastAsia" w:ascii="方正仿宋_GBK" w:hAnsi="方正仿宋_GBK" w:eastAsia="方正仿宋_GBK" w:cs="方正仿宋_GBK"/>
          <w:color w:val="auto"/>
          <w:sz w:val="32"/>
          <w:szCs w:val="32"/>
        </w:rPr>
        <w:t>夫子庙核心区年度客流量</w:t>
      </w:r>
      <w:r>
        <w:rPr>
          <w:rFonts w:hint="eastAsia" w:ascii="方正仿宋_GBK" w:hAnsi="方正仿宋_GBK" w:eastAsia="方正仿宋_GBK" w:cs="方正仿宋_GBK"/>
          <w:color w:val="auto"/>
          <w:sz w:val="32"/>
          <w:szCs w:val="32"/>
          <w:lang w:eastAsia="zh-CN"/>
        </w:rPr>
        <w:t>保持</w:t>
      </w:r>
      <w:r>
        <w:rPr>
          <w:rFonts w:hint="eastAsia" w:ascii="方正仿宋_GBK" w:hAnsi="方正仿宋_GBK" w:eastAsia="方正仿宋_GBK" w:cs="方正仿宋_GBK"/>
          <w:color w:val="auto"/>
          <w:sz w:val="32"/>
          <w:szCs w:val="32"/>
          <w:lang w:val="en-US" w:eastAsia="zh-CN"/>
        </w:rPr>
        <w:t>60</w:t>
      </w:r>
      <w:r>
        <w:rPr>
          <w:rFonts w:hint="eastAsia" w:ascii="方正仿宋_GBK" w:hAnsi="方正仿宋_GBK" w:eastAsia="方正仿宋_GBK" w:cs="方正仿宋_GBK"/>
          <w:color w:val="auto"/>
          <w:sz w:val="32"/>
          <w:szCs w:val="32"/>
        </w:rPr>
        <w:t>00万人次</w:t>
      </w:r>
      <w:r>
        <w:rPr>
          <w:rFonts w:hint="eastAsia" w:ascii="方正仿宋_GBK" w:hAnsi="方正仿宋_GBK" w:eastAsia="方正仿宋_GBK" w:cs="方正仿宋_GBK"/>
          <w:color w:val="auto"/>
          <w:sz w:val="32"/>
          <w:szCs w:val="32"/>
          <w:lang w:eastAsia="zh-CN"/>
        </w:rPr>
        <w:t>以上</w:t>
      </w:r>
      <w:r>
        <w:rPr>
          <w:rFonts w:hint="eastAsia" w:ascii="方正仿宋_GBK" w:hAnsi="方正仿宋_GBK" w:eastAsia="方正仿宋_GBK" w:cs="方正仿宋_GBK"/>
          <w:color w:val="auto"/>
          <w:sz w:val="32"/>
          <w:szCs w:val="32"/>
        </w:rPr>
        <w:t>，文化产业增加值</w:t>
      </w:r>
      <w:r>
        <w:rPr>
          <w:rFonts w:hint="eastAsia" w:ascii="方正仿宋_GBK" w:hAnsi="方正仿宋_GBK" w:eastAsia="方正仿宋_GBK" w:cs="方正仿宋_GBK"/>
          <w:color w:val="auto"/>
          <w:sz w:val="32"/>
          <w:szCs w:val="32"/>
          <w:lang w:eastAsia="zh-CN"/>
        </w:rPr>
        <w:t>年度增幅达</w:t>
      </w:r>
      <w:r>
        <w:rPr>
          <w:rFonts w:hint="eastAsia" w:ascii="方正仿宋_GBK" w:hAnsi="方正仿宋_GBK" w:eastAsia="方正仿宋_GBK" w:cs="方正仿宋_GBK"/>
          <w:color w:val="auto"/>
          <w:sz w:val="32"/>
          <w:szCs w:val="32"/>
          <w:lang w:val="en-US" w:eastAsia="zh-CN"/>
        </w:rPr>
        <w:t>15%</w:t>
      </w:r>
      <w:r>
        <w:rPr>
          <w:rFonts w:hint="eastAsia" w:ascii="方正仿宋_GBK" w:hAnsi="方正仿宋_GBK" w:eastAsia="方正仿宋_GBK" w:cs="方正仿宋_GBK"/>
          <w:color w:val="auto"/>
          <w:sz w:val="32"/>
          <w:szCs w:val="32"/>
        </w:rPr>
        <w:t>，成功打造国际知名的文化休闲旅游中心，彰显秦淮魅力。延续老城保护改造</w:t>
      </w:r>
      <w:r>
        <w:rPr>
          <w:rFonts w:hint="eastAsia" w:ascii="方正仿宋_GBK" w:hAnsi="方正仿宋_GBK" w:eastAsia="方正仿宋_GBK" w:cs="方正仿宋_GBK"/>
          <w:color w:val="auto"/>
          <w:sz w:val="32"/>
          <w:szCs w:val="32"/>
          <w:lang w:eastAsia="zh-CN"/>
        </w:rPr>
        <w:t>与更新建设</w:t>
      </w:r>
      <w:r>
        <w:rPr>
          <w:rFonts w:hint="eastAsia" w:ascii="方正仿宋_GBK" w:hAnsi="方正仿宋_GBK" w:eastAsia="方正仿宋_GBK" w:cs="方正仿宋_GBK"/>
          <w:color w:val="auto"/>
          <w:sz w:val="32"/>
          <w:szCs w:val="32"/>
        </w:rPr>
        <w:t>，切实提升辖区居民与外地游客的舒适度、幸福感与获得感。</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四、产业发展战略</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以“双循环”新格局推动文旅消费新活力，以国内大循环为主体、国内国际双循环相互促进，</w:t>
      </w:r>
      <w:r>
        <w:rPr>
          <w:rFonts w:hint="eastAsia" w:ascii="方正仿宋_GBK" w:hAnsi="方正仿宋_GBK" w:eastAsia="方正仿宋_GBK" w:cs="方正仿宋_GBK"/>
          <w:color w:val="auto"/>
          <w:sz w:val="32"/>
          <w:szCs w:val="32"/>
        </w:rPr>
        <w:t>深化文旅商产业供给侧结构性改革，构建高效内需体系</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创造新供给，释放新潜力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坚持新消费、新产业、新都市、新基建“四轮驱动”</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推动新技术、新产业、新业态蓬勃发展，</w:t>
      </w:r>
      <w:r>
        <w:rPr>
          <w:rFonts w:hint="eastAsia" w:ascii="方正仿宋_GBK" w:hAnsi="方正仿宋_GBK" w:eastAsia="方正仿宋_GBK" w:cs="方正仿宋_GBK"/>
          <w:color w:val="auto"/>
          <w:sz w:val="32"/>
          <w:szCs w:val="32"/>
          <w:lang w:eastAsia="zh-CN"/>
        </w:rPr>
        <w:t>坚定不移地发展融合度高、带动性强的新兴产业，</w:t>
      </w:r>
      <w:r>
        <w:rPr>
          <w:rFonts w:hint="eastAsia" w:ascii="方正仿宋_GBK" w:hAnsi="方正仿宋_GBK" w:eastAsia="方正仿宋_GBK" w:cs="方正仿宋_GBK"/>
          <w:color w:val="auto"/>
          <w:sz w:val="32"/>
          <w:szCs w:val="32"/>
        </w:rPr>
        <w:t>打造代表未来都市经济发展方向的新产业结构</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大力支持文化创意、物联网、云计算、大数据、智慧旅游、新零售等新兴产业，引入领军企业、头部企业，培育文化型、科技型、创新型企业，加速形成一批“链主”企业、创新平台、龙头项目和产业集群</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强化重大项目支撑，筹划全生命周期产业融合，打造未来产业发展平台，提升产业集聚度</w:t>
      </w:r>
      <w:r>
        <w:rPr>
          <w:rFonts w:hint="eastAsia" w:ascii="方正仿宋_GBK" w:hAnsi="方正仿宋_GBK" w:eastAsia="方正仿宋_GBK" w:cs="方正仿宋_GBK"/>
          <w:color w:val="auto"/>
          <w:sz w:val="32"/>
          <w:szCs w:val="32"/>
          <w:lang w:eastAsia="zh-CN"/>
        </w:rPr>
        <w:t>与</w:t>
      </w:r>
      <w:r>
        <w:rPr>
          <w:rFonts w:hint="eastAsia" w:ascii="方正仿宋_GBK" w:hAnsi="方正仿宋_GBK" w:eastAsia="方正仿宋_GBK" w:cs="方正仿宋_GBK"/>
          <w:color w:val="auto"/>
          <w:sz w:val="32"/>
          <w:szCs w:val="32"/>
        </w:rPr>
        <w:t>辐射带动力，为板块经济增长和高质量发展持续注入新动能。</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ascii="方正楷体_GBK" w:hAnsi="方正楷体_GBK" w:eastAsia="方正楷体_GBK" w:cs="方正楷体_GBK"/>
          <w:b/>
          <w:bCs/>
          <w:color w:val="auto"/>
          <w:sz w:val="32"/>
          <w:szCs w:val="32"/>
        </w:rPr>
      </w:pPr>
      <w:r>
        <w:rPr>
          <w:rFonts w:hint="eastAsia" w:ascii="方正楷体_GBK" w:hAnsi="方正楷体_GBK" w:eastAsia="方正楷体_GBK" w:cs="方正楷体_GBK"/>
          <w:b/>
          <w:bCs/>
          <w:color w:val="auto"/>
          <w:sz w:val="32"/>
          <w:szCs w:val="32"/>
          <w:lang w:eastAsia="zh-CN"/>
        </w:rPr>
        <w:t>（一）</w:t>
      </w:r>
      <w:r>
        <w:rPr>
          <w:rFonts w:hint="eastAsia" w:ascii="方正楷体_GBK" w:hAnsi="方正楷体_GBK" w:eastAsia="方正楷体_GBK" w:cs="方正楷体_GBK"/>
          <w:b/>
          <w:bCs/>
          <w:color w:val="auto"/>
          <w:sz w:val="32"/>
          <w:szCs w:val="32"/>
        </w:rPr>
        <w:t>实施“文化+科技”发展战略。</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推进“国创园”工业设计、“1865”文创旅游、“广电·越界”数字传媒、“悦动·新门西”物联网、“无为”短视频、“西五华里”网络文学、“门东”融媒体、“核心景区”文创文博等一批“文化+科技”产业集聚，形成以文化为内核、以文化创新+科技创新为重点、以休闲旅游为特色、以龙头企业总部经济等为牵引的现代产业体系和优势产业集群。不断加大科技创新领域的招商引资力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进一步提升</w:t>
      </w:r>
      <w:r>
        <w:rPr>
          <w:rFonts w:hint="eastAsia" w:ascii="方正仿宋_GBK" w:hAnsi="方正仿宋_GBK" w:eastAsia="方正仿宋_GBK" w:cs="方正仿宋_GBK"/>
          <w:color w:val="auto"/>
          <w:sz w:val="32"/>
          <w:szCs w:val="32"/>
          <w:lang w:eastAsia="zh-CN"/>
        </w:rPr>
        <w:t>园区</w:t>
      </w:r>
      <w:r>
        <w:rPr>
          <w:rFonts w:hint="eastAsia" w:ascii="方正仿宋_GBK" w:hAnsi="方正仿宋_GBK" w:eastAsia="方正仿宋_GBK" w:cs="方正仿宋_GBK"/>
          <w:color w:val="auto"/>
          <w:sz w:val="32"/>
          <w:szCs w:val="32"/>
        </w:rPr>
        <w:t>运营主体招商工作积极性和主动性</w:t>
      </w:r>
      <w:r>
        <w:rPr>
          <w:rFonts w:hint="eastAsia" w:ascii="方正仿宋_GBK" w:hAnsi="方正仿宋_GBK" w:eastAsia="方正仿宋_GBK" w:cs="方正仿宋_GBK"/>
          <w:color w:val="auto"/>
          <w:sz w:val="32"/>
          <w:szCs w:val="32"/>
          <w:lang w:eastAsia="zh-CN"/>
        </w:rPr>
        <w:t>。聚焦</w:t>
      </w:r>
      <w:r>
        <w:rPr>
          <w:rFonts w:hint="eastAsia" w:ascii="方正仿宋_GBK" w:hAnsi="方正仿宋_GBK" w:eastAsia="方正仿宋_GBK" w:cs="方正仿宋_GBK"/>
          <w:color w:val="auto"/>
          <w:sz w:val="32"/>
          <w:szCs w:val="32"/>
        </w:rPr>
        <w:t>产业发展需求</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加快发展新型文化企业、文化业态、文化消费模式</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为科技产品、科技企业提供强大需求牵引，支持一批科技成果向文化企业转移</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促进新技术、新产品快速涌现和迭代升级</w:t>
      </w:r>
      <w:r>
        <w:rPr>
          <w:rFonts w:hint="eastAsia" w:ascii="方正仿宋_GBK" w:hAnsi="方正仿宋_GBK" w:eastAsia="方正仿宋_GBK" w:cs="方正仿宋_GBK"/>
          <w:color w:val="auto"/>
          <w:sz w:val="32"/>
          <w:szCs w:val="32"/>
          <w:lang w:eastAsia="zh-CN"/>
        </w:rPr>
        <w:t>，着力打造富有老城南特色的</w:t>
      </w:r>
      <w:r>
        <w:rPr>
          <w:rFonts w:hint="eastAsia" w:ascii="方正仿宋_GBK" w:hAnsi="方正仿宋_GBK" w:eastAsia="方正仿宋_GBK" w:cs="方正仿宋_GBK"/>
          <w:color w:val="auto"/>
          <w:sz w:val="32"/>
          <w:szCs w:val="32"/>
        </w:rPr>
        <w:t>文化和科技融合体系</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加快江苏国家版权贸易基地、企鹅新媒体学院、短视频产业园等数字内容产业平台建设，打造区域版权交易中心，创成国家级文化产业示范园区。</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ascii="方正楷体_GBK" w:hAnsi="方正楷体_GBK" w:eastAsia="方正楷体_GBK" w:cs="方正楷体_GBK"/>
          <w:b/>
          <w:bCs/>
          <w:color w:val="auto"/>
          <w:sz w:val="32"/>
          <w:szCs w:val="32"/>
        </w:rPr>
      </w:pPr>
      <w:r>
        <w:rPr>
          <w:rFonts w:hint="eastAsia" w:ascii="方正楷体_GBK" w:hAnsi="方正楷体_GBK" w:eastAsia="方正楷体_GBK" w:cs="方正楷体_GBK"/>
          <w:b/>
          <w:bCs/>
          <w:color w:val="auto"/>
          <w:sz w:val="32"/>
          <w:szCs w:val="32"/>
          <w:lang w:eastAsia="zh-CN"/>
        </w:rPr>
        <w:t>（二）</w:t>
      </w:r>
      <w:r>
        <w:rPr>
          <w:rFonts w:hint="eastAsia" w:ascii="方正楷体_GBK" w:hAnsi="方正楷体_GBK" w:eastAsia="方正楷体_GBK" w:cs="方正楷体_GBK"/>
          <w:b/>
          <w:bCs/>
          <w:color w:val="auto"/>
          <w:sz w:val="32"/>
          <w:szCs w:val="32"/>
        </w:rPr>
        <w:t>实施“旅游+智慧”发展战略。</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加强智慧景区建设，</w:t>
      </w:r>
      <w:r>
        <w:rPr>
          <w:rFonts w:hint="eastAsia" w:ascii="方正仿宋_GBK" w:hAnsi="方正仿宋_GBK" w:eastAsia="方正仿宋_GBK" w:cs="方正仿宋_GBK"/>
          <w:color w:val="auto"/>
          <w:sz w:val="32"/>
          <w:szCs w:val="32"/>
        </w:rPr>
        <w:t>积极向新技术转型，</w:t>
      </w:r>
      <w:r>
        <w:rPr>
          <w:rFonts w:ascii="方正仿宋_GBK" w:hAnsi="方正仿宋_GBK" w:eastAsia="方正仿宋_GBK" w:cs="方正仿宋_GBK"/>
          <w:color w:val="auto"/>
          <w:sz w:val="32"/>
          <w:szCs w:val="32"/>
        </w:rPr>
        <w:t>利用互联网、大数据、云计算、人工智能</w:t>
      </w:r>
      <w:r>
        <w:rPr>
          <w:rFonts w:hint="eastAsia" w:ascii="方正仿宋_GBK" w:hAnsi="方正仿宋_GBK" w:eastAsia="方正仿宋_GBK" w:cs="方正仿宋_GBK"/>
          <w:color w:val="auto"/>
          <w:sz w:val="32"/>
          <w:szCs w:val="32"/>
        </w:rPr>
        <w:t>、5G、AR、VR</w:t>
      </w:r>
      <w:r>
        <w:rPr>
          <w:rFonts w:ascii="方正仿宋_GBK" w:hAnsi="方正仿宋_GBK" w:eastAsia="方正仿宋_GBK" w:cs="方正仿宋_GBK"/>
          <w:color w:val="auto"/>
          <w:sz w:val="32"/>
          <w:szCs w:val="32"/>
        </w:rPr>
        <w:t>等新技术提高旅游服务标准化、智能化水平</w:t>
      </w:r>
      <w:r>
        <w:rPr>
          <w:rFonts w:hint="eastAsia" w:ascii="方正仿宋_GBK" w:hAnsi="方正仿宋_GBK" w:eastAsia="方正仿宋_GBK" w:cs="方正仿宋_GBK"/>
          <w:color w:val="auto"/>
          <w:sz w:val="32"/>
          <w:szCs w:val="32"/>
        </w:rPr>
        <w:t>，</w:t>
      </w:r>
      <w:r>
        <w:rPr>
          <w:rFonts w:ascii="方正仿宋_GBK" w:hAnsi="方正仿宋_GBK" w:eastAsia="方正仿宋_GBK" w:cs="方正仿宋_GBK"/>
          <w:color w:val="auto"/>
          <w:sz w:val="32"/>
          <w:szCs w:val="32"/>
        </w:rPr>
        <w:t>做好客流疏导、智慧停车等景区管理工作，</w:t>
      </w:r>
      <w:r>
        <w:rPr>
          <w:rFonts w:hint="eastAsia" w:ascii="方正仿宋_GBK" w:hAnsi="方正仿宋_GBK" w:eastAsia="方正仿宋_GBK" w:cs="方正仿宋_GBK"/>
          <w:color w:val="auto"/>
          <w:sz w:val="32"/>
          <w:szCs w:val="32"/>
        </w:rPr>
        <w:t>打造智慧旅游平台、智慧文旅项目、智慧产业体系。高水平建设“</w:t>
      </w:r>
      <w:r>
        <w:rPr>
          <w:rFonts w:hint="eastAsia" w:ascii="方正仿宋_GBK" w:hAnsi="方正仿宋_GBK" w:eastAsia="方正仿宋_GBK" w:cs="方正仿宋_GBK"/>
          <w:color w:val="auto"/>
          <w:sz w:val="32"/>
          <w:szCs w:val="32"/>
          <w:lang w:eastAsia="zh-CN"/>
        </w:rPr>
        <w:t>云尚</w:t>
      </w:r>
      <w:r>
        <w:rPr>
          <w:rFonts w:hint="eastAsia" w:ascii="方正仿宋_GBK" w:hAnsi="方正仿宋_GBK" w:eastAsia="方正仿宋_GBK" w:cs="方正仿宋_GBK"/>
          <w:color w:val="auto"/>
          <w:sz w:val="32"/>
          <w:szCs w:val="32"/>
        </w:rPr>
        <w:t>夫子庙”平台，夫子庙景区推行</w:t>
      </w:r>
      <w:r>
        <w:rPr>
          <w:rFonts w:hint="eastAsia" w:ascii="方正仿宋_GBK" w:hAnsi="方正仿宋_GBK" w:eastAsia="方正仿宋_GBK" w:cs="方正仿宋_GBK"/>
          <w:color w:val="auto"/>
          <w:sz w:val="32"/>
          <w:szCs w:val="32"/>
          <w:lang w:eastAsia="zh-CN"/>
        </w:rPr>
        <w:t>聚合支付</w:t>
      </w:r>
      <w:r>
        <w:rPr>
          <w:rFonts w:hint="eastAsia" w:ascii="方正仿宋_GBK" w:hAnsi="方正仿宋_GBK" w:eastAsia="方正仿宋_GBK" w:cs="方正仿宋_GBK"/>
          <w:color w:val="auto"/>
          <w:sz w:val="32"/>
          <w:szCs w:val="32"/>
        </w:rPr>
        <w:t>服务，</w:t>
      </w:r>
      <w:r>
        <w:rPr>
          <w:rFonts w:hint="eastAsia" w:ascii="方正仿宋_GBK" w:hAnsi="方正仿宋_GBK" w:eastAsia="方正仿宋_GBK" w:cs="方正仿宋_GBK"/>
          <w:color w:val="auto"/>
          <w:sz w:val="32"/>
          <w:szCs w:val="32"/>
          <w:lang w:eastAsia="zh-CN"/>
        </w:rPr>
        <w:t>依托银联系统，</w:t>
      </w:r>
      <w:r>
        <w:rPr>
          <w:rFonts w:hint="eastAsia" w:ascii="方正仿宋_GBK" w:hAnsi="方正仿宋_GBK" w:eastAsia="方正仿宋_GBK" w:cs="方正仿宋_GBK"/>
          <w:color w:val="auto"/>
          <w:sz w:val="32"/>
          <w:szCs w:val="32"/>
        </w:rPr>
        <w:t>聚合微信、支付宝等多个平台，携手饿了么、口碑等app，通过共建共享、流量兑现等方式，提高管理运营的市场化程度，构建以数据为中心的新应用场景、新消费场景、新运营模式。支持通过互联网、大数据、物联网、人工智能等技术应用加快文旅商企业转型升级，推广线上线下互动销售新模式。重视“大数据+人”的运用，以现代科技为主要手段，加强与游客的连接，串联游客消费过程，及时准确掌握游客的旅游活动信息和旅游企业的经营信息，挖掘旅游热点和游客兴趣点，引导旅游企业策划对应的旅游产品，推动旅游行业的产品创新和营销创新。大力发展智慧零售、跨界零售、无人零售、绿色零售等新业态、新模式。继续对秦淮</w:t>
      </w:r>
      <w:r>
        <w:rPr>
          <w:rFonts w:hint="eastAsia" w:ascii="方正仿宋_GBK" w:hAnsi="方正仿宋_GBK" w:eastAsia="方正仿宋_GBK" w:cs="方正仿宋_GBK"/>
          <w:color w:val="auto"/>
          <w:sz w:val="32"/>
          <w:szCs w:val="32"/>
          <w:lang w:eastAsia="zh-CN"/>
        </w:rPr>
        <w:t>美食</w:t>
      </w:r>
      <w:r>
        <w:rPr>
          <w:rFonts w:hint="eastAsia" w:ascii="方正仿宋_GBK" w:hAnsi="方正仿宋_GBK" w:eastAsia="方正仿宋_GBK" w:cs="方正仿宋_GBK"/>
          <w:color w:val="auto"/>
          <w:sz w:val="32"/>
          <w:szCs w:val="32"/>
        </w:rPr>
        <w:t>街进行数字化再升级，通过完善物流、客流、数据流、资金流</w:t>
      </w:r>
      <w:r>
        <w:rPr>
          <w:rFonts w:hint="eastAsia" w:ascii="方正仿宋_GBK" w:hAnsi="方正仿宋_GBK" w:eastAsia="方正仿宋_GBK" w:cs="方正仿宋_GBK"/>
          <w:color w:val="auto"/>
          <w:sz w:val="32"/>
          <w:szCs w:val="32"/>
          <w:lang w:eastAsia="zh-CN"/>
        </w:rPr>
        <w:t>等</w:t>
      </w:r>
      <w:r>
        <w:rPr>
          <w:rFonts w:hint="eastAsia" w:ascii="方正仿宋_GBK" w:hAnsi="方正仿宋_GBK" w:eastAsia="方正仿宋_GBK" w:cs="方正仿宋_GBK"/>
          <w:color w:val="auto"/>
          <w:sz w:val="32"/>
          <w:szCs w:val="32"/>
        </w:rPr>
        <w:t>支撑体系，打造智慧门店、智慧品牌、智慧后厨的特色美食街区，让老字号商家和特色小店焕发新活力。</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color w:val="auto"/>
        </w:rPr>
      </w:pPr>
      <w:r>
        <w:rPr>
          <w:rFonts w:hint="eastAsia" w:ascii="方正黑体_GBK" w:hAnsi="方正黑体_GBK" w:eastAsia="方正黑体_GBK" w:cs="方正黑体_GBK"/>
          <w:color w:val="auto"/>
          <w:sz w:val="32"/>
          <w:szCs w:val="32"/>
          <w:lang w:eastAsia="zh-CN"/>
        </w:rPr>
        <w:t>五</w:t>
      </w:r>
      <w:r>
        <w:rPr>
          <w:rFonts w:hint="eastAsia" w:ascii="方正黑体_GBK" w:hAnsi="方正黑体_GBK" w:eastAsia="方正黑体_GBK" w:cs="方正黑体_GBK"/>
          <w:color w:val="auto"/>
          <w:sz w:val="32"/>
          <w:szCs w:val="32"/>
        </w:rPr>
        <w:t>、重点任务</w:t>
      </w:r>
    </w:p>
    <w:p>
      <w:pPr>
        <w:pStyle w:val="2"/>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楷体_GBK" w:hAnsi="方正楷体_GBK" w:eastAsia="方正楷体_GBK" w:cs="方正楷体_GBK"/>
          <w:b/>
          <w:bCs w:val="0"/>
          <w:color w:val="auto"/>
          <w:sz w:val="32"/>
          <w:szCs w:val="32"/>
          <w:lang w:eastAsia="zh-CN"/>
        </w:rPr>
      </w:pPr>
      <w:r>
        <w:rPr>
          <w:rFonts w:hint="eastAsia" w:ascii="方正楷体_GBK" w:hAnsi="方正楷体_GBK" w:eastAsia="方正楷体_GBK" w:cs="方正楷体_GBK"/>
          <w:b/>
          <w:bCs w:val="0"/>
          <w:color w:val="auto"/>
          <w:sz w:val="32"/>
          <w:szCs w:val="32"/>
        </w:rPr>
        <w:t>（一）</w:t>
      </w:r>
      <w:r>
        <w:rPr>
          <w:rFonts w:hint="eastAsia" w:ascii="方正楷体_GBK" w:hAnsi="方正楷体_GBK" w:eastAsia="方正楷体_GBK" w:cs="方正楷体_GBK"/>
          <w:b/>
          <w:bCs w:val="0"/>
          <w:color w:val="auto"/>
          <w:sz w:val="32"/>
          <w:szCs w:val="32"/>
          <w:lang w:eastAsia="zh-CN"/>
        </w:rPr>
        <w:t>文化赋能，推进</w:t>
      </w:r>
      <w:r>
        <w:rPr>
          <w:rFonts w:hint="eastAsia" w:ascii="方正楷体_GBK" w:hAnsi="方正楷体_GBK" w:eastAsia="方正楷体_GBK" w:cs="方正楷体_GBK"/>
          <w:b/>
          <w:bCs w:val="0"/>
          <w:color w:val="auto"/>
          <w:sz w:val="32"/>
          <w:szCs w:val="32"/>
        </w:rPr>
        <w:t>文旅商融合</w:t>
      </w:r>
      <w:r>
        <w:rPr>
          <w:rFonts w:hint="eastAsia" w:ascii="方正楷体_GBK" w:hAnsi="方正楷体_GBK" w:eastAsia="方正楷体_GBK" w:cs="方正楷体_GBK"/>
          <w:b/>
          <w:bCs w:val="0"/>
          <w:color w:val="auto"/>
          <w:sz w:val="32"/>
          <w:szCs w:val="32"/>
          <w:lang w:eastAsia="zh-CN"/>
        </w:rPr>
        <w:t>发展。</w:t>
      </w:r>
    </w:p>
    <w:p>
      <w:pPr>
        <w:keepNext w:val="0"/>
        <w:keepLines w:val="0"/>
        <w:pageBreakBefore w:val="0"/>
        <w:kinsoku/>
        <w:wordWrap/>
        <w:overflowPunct/>
        <w:topLinePunct w:val="0"/>
        <w:autoSpaceDE/>
        <w:autoSpaceDN/>
        <w:bidi w:val="0"/>
        <w:adjustRightInd/>
        <w:spacing w:line="520" w:lineRule="exact"/>
        <w:ind w:firstLine="640"/>
        <w:jc w:val="both"/>
        <w:textAlignment w:val="auto"/>
        <w:rPr>
          <w:rFonts w:hint="eastAsia" w:ascii="方正楷体_GBK" w:hAnsi="方正楷体_GBK" w:eastAsia="方正楷体_GBK" w:cs="方正楷体_GBK"/>
          <w:b/>
          <w:bCs w:val="0"/>
          <w:color w:val="auto"/>
          <w:sz w:val="32"/>
          <w:szCs w:val="32"/>
          <w:lang w:eastAsia="zh-CN"/>
        </w:rPr>
      </w:pPr>
      <w:r>
        <w:rPr>
          <w:rFonts w:hint="eastAsia" w:ascii="方正仿宋_GBK" w:hAnsi="方正仿宋_GBK" w:eastAsia="方正仿宋_GBK" w:cs="方正仿宋_GBK"/>
          <w:b/>
          <w:bCs/>
          <w:color w:val="auto"/>
          <w:sz w:val="32"/>
          <w:szCs w:val="32"/>
          <w:lang w:val="en-US" w:eastAsia="zh-CN"/>
        </w:rPr>
        <w:t>1</w:t>
      </w:r>
      <w:r>
        <w:rPr>
          <w:rFonts w:hint="eastAsia" w:ascii="方正仿宋_GBK" w:hAnsi="方正仿宋_GBK" w:eastAsia="方正仿宋_GBK" w:cs="方正仿宋_GBK"/>
          <w:b/>
          <w:bCs/>
          <w:color w:val="auto"/>
          <w:sz w:val="32"/>
          <w:szCs w:val="32"/>
        </w:rPr>
        <w:t>、聚焦国际文化旅游目的地。</w:t>
      </w:r>
      <w:r>
        <w:rPr>
          <w:rFonts w:hint="eastAsia" w:ascii="方正仿宋_GBK" w:hAnsi="方正仿宋_GBK" w:eastAsia="方正仿宋_GBK" w:cs="方正仿宋_GBK"/>
          <w:color w:val="auto"/>
          <w:sz w:val="32"/>
          <w:szCs w:val="32"/>
          <w:lang w:eastAsia="zh-CN"/>
        </w:rPr>
        <w:t>“古韵新貌交融，特色活力互动”，</w:t>
      </w:r>
      <w:r>
        <w:rPr>
          <w:rFonts w:hint="eastAsia" w:ascii="方正仿宋_GBK" w:hAnsi="Times New Roman" w:eastAsia="方正仿宋_GBK" w:cs="Times New Roman"/>
          <w:color w:val="auto"/>
          <w:sz w:val="32"/>
          <w:szCs w:val="32"/>
        </w:rPr>
        <w:t>以“城市记忆”为串联，</w:t>
      </w:r>
      <w:r>
        <w:rPr>
          <w:rFonts w:hint="eastAsia" w:ascii="方正仿宋_GBK" w:hAnsi="方正仿宋_GBK" w:eastAsia="方正仿宋_GBK" w:cs="方正仿宋_GBK"/>
          <w:color w:val="auto"/>
          <w:sz w:val="32"/>
          <w:szCs w:val="32"/>
        </w:rPr>
        <w:t>夫子庙</w:t>
      </w:r>
      <w:r>
        <w:rPr>
          <w:rFonts w:hint="eastAsia" w:ascii="方正仿宋_GBK" w:hAnsi="方正仿宋_GBK" w:eastAsia="方正仿宋_GBK" w:cs="方正仿宋_GBK"/>
          <w:color w:val="auto"/>
          <w:sz w:val="32"/>
          <w:szCs w:val="32"/>
          <w:lang w:eastAsia="zh-CN"/>
        </w:rPr>
        <w:t>进一步</w:t>
      </w:r>
      <w:r>
        <w:rPr>
          <w:rFonts w:hint="eastAsia" w:eastAsia="仿宋"/>
          <w:color w:val="auto"/>
          <w:sz w:val="32"/>
          <w:szCs w:val="32"/>
          <w:highlight w:val="none"/>
          <w:lang w:eastAsia="zh-CN"/>
        </w:rPr>
        <w:t>提升</w:t>
      </w:r>
      <w:r>
        <w:rPr>
          <w:rFonts w:eastAsia="仿宋"/>
          <w:color w:val="auto"/>
          <w:sz w:val="32"/>
          <w:szCs w:val="32"/>
          <w:highlight w:val="none"/>
        </w:rPr>
        <w:t>国际</w:t>
      </w:r>
      <w:r>
        <w:rPr>
          <w:rFonts w:hint="eastAsia" w:eastAsia="仿宋"/>
          <w:color w:val="auto"/>
          <w:sz w:val="32"/>
          <w:szCs w:val="32"/>
          <w:highlight w:val="none"/>
          <w:lang w:eastAsia="zh-CN"/>
        </w:rPr>
        <w:t>影响力</w:t>
      </w:r>
      <w:r>
        <w:rPr>
          <w:rFonts w:eastAsia="仿宋"/>
          <w:color w:val="auto"/>
          <w:sz w:val="32"/>
          <w:szCs w:val="32"/>
          <w:highlight w:val="none"/>
        </w:rPr>
        <w:t>，</w:t>
      </w:r>
      <w:r>
        <w:rPr>
          <w:rFonts w:hint="eastAsia" w:ascii="方正仿宋_GBK" w:hAnsi="方正仿宋_GBK" w:eastAsia="方正仿宋_GBK" w:cs="方正仿宋_GBK"/>
          <w:color w:val="auto"/>
          <w:sz w:val="32"/>
          <w:szCs w:val="32"/>
        </w:rPr>
        <w:t>重点发展“一城一河”、门东、门西、中华门外、熙南里等核心集聚区</w:t>
      </w:r>
      <w:r>
        <w:rPr>
          <w:rFonts w:hint="eastAsia" w:ascii="方正仿宋_GBK" w:hAnsi="方正仿宋_GBK" w:eastAsia="方正仿宋_GBK" w:cs="方正仿宋_GBK"/>
          <w:color w:val="auto"/>
          <w:sz w:val="32"/>
          <w:szCs w:val="32"/>
          <w:lang w:eastAsia="zh-CN"/>
        </w:rPr>
        <w:t>，形成</w:t>
      </w:r>
      <w:r>
        <w:rPr>
          <w:rFonts w:hint="eastAsia" w:ascii="方正仿宋_GBK" w:hAnsi="Times New Roman" w:eastAsia="方正仿宋_GBK" w:cs="Times New Roman"/>
          <w:color w:val="auto"/>
          <w:sz w:val="32"/>
          <w:szCs w:val="32"/>
        </w:rPr>
        <w:t>文旅商核心吸引物集群</w:t>
      </w:r>
      <w:r>
        <w:rPr>
          <w:rFonts w:hint="eastAsia" w:ascii="方正仿宋_GBK" w:hAnsi="Times New Roman" w:eastAsia="方正仿宋_GBK" w:cs="Times New Roman"/>
          <w:color w:val="auto"/>
          <w:sz w:val="32"/>
          <w:szCs w:val="32"/>
          <w:lang w:eastAsia="zh-CN"/>
        </w:rPr>
        <w:t>，</w:t>
      </w:r>
      <w:r>
        <w:rPr>
          <w:rFonts w:hint="eastAsia" w:ascii="方正仿宋_GBK" w:hAnsi="Times New Roman" w:eastAsia="方正仿宋_GBK" w:cs="Times New Roman"/>
          <w:color w:val="auto"/>
          <w:sz w:val="32"/>
          <w:szCs w:val="32"/>
        </w:rPr>
        <w:t>打造</w:t>
      </w:r>
      <w:r>
        <w:rPr>
          <w:rFonts w:hint="eastAsia" w:ascii="方正仿宋_GBK" w:hAnsi="Times New Roman" w:eastAsia="方正仿宋_GBK" w:cs="Times New Roman"/>
          <w:color w:val="auto"/>
          <w:sz w:val="32"/>
          <w:szCs w:val="32"/>
          <w:lang w:eastAsia="zh-CN"/>
        </w:rPr>
        <w:t>成为</w:t>
      </w:r>
      <w:r>
        <w:rPr>
          <w:rFonts w:hint="eastAsia" w:ascii="仿宋" w:hAnsi="仿宋" w:eastAsia="仿宋" w:cs="仿宋"/>
          <w:color w:val="auto"/>
          <w:sz w:val="32"/>
          <w:szCs w:val="32"/>
        </w:rPr>
        <w:t>影响力大、关联度高、代表性强</w:t>
      </w:r>
      <w:r>
        <w:rPr>
          <w:rFonts w:hint="eastAsia" w:ascii="仿宋" w:hAnsi="仿宋" w:eastAsia="仿宋" w:cs="仿宋"/>
          <w:color w:val="auto"/>
          <w:sz w:val="32"/>
          <w:szCs w:val="32"/>
          <w:lang w:eastAsia="zh-CN"/>
        </w:rPr>
        <w:t>的</w:t>
      </w:r>
      <w:r>
        <w:rPr>
          <w:rFonts w:hint="eastAsia" w:ascii="方正仿宋_GBK" w:hAnsi="方正仿宋_GBK" w:eastAsia="方正仿宋_GBK" w:cs="方正仿宋_GBK"/>
          <w:b w:val="0"/>
          <w:bCs w:val="0"/>
          <w:color w:val="auto"/>
          <w:sz w:val="32"/>
          <w:szCs w:val="32"/>
        </w:rPr>
        <w:t>国际文化旅游目的地</w:t>
      </w:r>
      <w:r>
        <w:rPr>
          <w:rFonts w:hint="eastAsia" w:ascii="方正仿宋_GBK" w:hAnsi="方正仿宋_GBK" w:eastAsia="方正仿宋_GBK" w:cs="方正仿宋_GBK"/>
          <w:b w:val="0"/>
          <w:bCs w:val="0"/>
          <w:color w:val="auto"/>
          <w:sz w:val="32"/>
          <w:szCs w:val="32"/>
          <w:lang w:eastAsia="zh-CN"/>
        </w:rPr>
        <w:t>群</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color w:val="auto"/>
          <w:sz w:val="32"/>
          <w:szCs w:val="32"/>
        </w:rPr>
        <w:t>夫子庙放大做强首批全国示范步行街示范效应，门东街区创成首批省级示范步行街</w:t>
      </w:r>
      <w:r>
        <w:rPr>
          <w:rFonts w:hint="eastAsia" w:ascii="方正仿宋_GBK" w:hAnsi="方正仿宋_GBK" w:eastAsia="方正仿宋_GBK" w:cs="方正仿宋_GBK"/>
          <w:color w:val="auto"/>
          <w:sz w:val="32"/>
          <w:szCs w:val="32"/>
          <w:lang w:eastAsia="zh-CN"/>
        </w:rPr>
        <w:t>，</w:t>
      </w:r>
      <w:r>
        <w:rPr>
          <w:rFonts w:eastAsia="仿宋"/>
          <w:color w:val="auto"/>
          <w:sz w:val="32"/>
          <w:szCs w:val="32"/>
          <w:highlight w:val="none"/>
        </w:rPr>
        <w:t>推动以中华门为核心的国际文化旅游目的地建设取得实质性进展</w:t>
      </w:r>
      <w:r>
        <w:rPr>
          <w:rFonts w:hint="eastAsia" w:ascii="方正仿宋_GBK" w:hAnsi="方正仿宋_GBK" w:eastAsia="方正仿宋_GBK" w:cs="方正仿宋_GBK"/>
          <w:color w:val="auto"/>
          <w:sz w:val="32"/>
          <w:szCs w:val="32"/>
        </w:rPr>
        <w:t>。门西成为兼具南京创新名城和美丽古都两种特质的“秦淮硅巷”。中华门外片区建成南京的礼仪门户和世界级的文旅景区。熙南里打造成具有独特南京传统文化印记的综合体验区。秦淮河成为比肩圣安东尼奥河、塞纳河、泰晤士河的“世界之河”，南京明城墙入选世界级历史文化遗产。</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hint="eastAsia" w:ascii="方正仿宋_GBK" w:hAnsi="Times New Roman" w:eastAsia="方正仿宋_GBK" w:cs="Times New Roman"/>
          <w:color w:val="auto"/>
          <w:sz w:val="32"/>
          <w:szCs w:val="32"/>
        </w:rPr>
      </w:pPr>
      <w:r>
        <w:rPr>
          <w:rFonts w:hint="eastAsia" w:ascii="方正仿宋_GBK" w:hAnsi="Times New Roman" w:eastAsia="方正仿宋_GBK" w:cs="Times New Roman"/>
          <w:b/>
          <w:color w:val="auto"/>
          <w:sz w:val="32"/>
          <w:szCs w:val="32"/>
          <w:lang w:val="en-US" w:eastAsia="zh-CN"/>
        </w:rPr>
        <w:t>2</w:t>
      </w:r>
      <w:r>
        <w:rPr>
          <w:rFonts w:hint="eastAsia" w:ascii="方正仿宋_GBK" w:hAnsi="Times New Roman" w:eastAsia="方正仿宋_GBK" w:cs="Times New Roman"/>
          <w:b/>
          <w:color w:val="auto"/>
          <w:sz w:val="32"/>
          <w:szCs w:val="32"/>
        </w:rPr>
        <w:t>、加快文旅商重点项目建设。</w:t>
      </w:r>
      <w:r>
        <w:rPr>
          <w:rFonts w:eastAsia="仿宋"/>
          <w:color w:val="auto"/>
          <w:sz w:val="32"/>
          <w:szCs w:val="32"/>
          <w:highlight w:val="none"/>
        </w:rPr>
        <w:t>推动文商旅跨界融合发展，建成国内领先、世界知名的文商旅融合发展商圈和步行街。在夫子庙、老门东等区域引入国内知名MCN机构及网红，引进文旅消费的“首店”、“总店”，打造3-5条具有独特体验感的文化廊道，布局演艺、展览等沉浸式体验项目、创意产品和时尚活动。</w:t>
      </w:r>
      <w:r>
        <w:rPr>
          <w:rFonts w:hint="eastAsia" w:ascii="仿宋" w:hAnsi="仿宋" w:eastAsia="仿宋" w:cs="仿宋"/>
          <w:color w:val="auto"/>
          <w:sz w:val="32"/>
          <w:szCs w:val="32"/>
        </w:rPr>
        <w:t>以明城墙、秦淮河为物理通道</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将“城市记忆”整体项目作为市文商旅</w:t>
      </w:r>
      <w:r>
        <w:rPr>
          <w:rFonts w:hint="eastAsia" w:ascii="仿宋" w:hAnsi="仿宋" w:eastAsia="仿宋" w:cs="仿宋"/>
          <w:color w:val="auto"/>
          <w:sz w:val="32"/>
          <w:szCs w:val="32"/>
          <w:lang w:eastAsia="zh-CN"/>
        </w:rPr>
        <w:t>建设</w:t>
      </w:r>
      <w:r>
        <w:rPr>
          <w:rFonts w:hint="eastAsia" w:ascii="仿宋" w:hAnsi="仿宋" w:eastAsia="仿宋" w:cs="仿宋"/>
          <w:color w:val="auto"/>
          <w:sz w:val="32"/>
          <w:szCs w:val="32"/>
        </w:rPr>
        <w:t>融合的新方向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以城市起源地—越城遗址作为南京“城市记忆”项目试点，以长干里、大报恩寺、中华门、南都繁会等代表性元素为支撑，</w:t>
      </w:r>
      <w:r>
        <w:rPr>
          <w:rFonts w:hint="eastAsia" w:ascii="方正仿宋_GBK" w:hAnsi="Times New Roman" w:eastAsia="方正仿宋_GBK" w:cs="Times New Roman"/>
          <w:color w:val="auto"/>
          <w:sz w:val="32"/>
          <w:szCs w:val="32"/>
        </w:rPr>
        <w:t>统筹越城天地、城墙博物馆、南京名人馆等重大项目，</w:t>
      </w:r>
      <w:r>
        <w:rPr>
          <w:rFonts w:hint="eastAsia" w:ascii="仿宋" w:hAnsi="仿宋" w:eastAsia="仿宋" w:cs="仿宋"/>
          <w:color w:val="auto"/>
          <w:sz w:val="32"/>
          <w:szCs w:val="32"/>
        </w:rPr>
        <w:t>以科技文化集成创新的方式，将自然人文资源进行故事化，体验化，多媒介、立体化讲述南京故事</w:t>
      </w:r>
      <w:r>
        <w:rPr>
          <w:rFonts w:hint="eastAsia" w:ascii="仿宋" w:hAnsi="仿宋" w:eastAsia="仿宋" w:cs="仿宋"/>
          <w:color w:val="auto"/>
          <w:sz w:val="32"/>
          <w:szCs w:val="32"/>
          <w:lang w:eastAsia="zh-CN"/>
        </w:rPr>
        <w:t>。</w:t>
      </w:r>
      <w:r>
        <w:rPr>
          <w:rFonts w:hint="eastAsia" w:ascii="方正仿宋_GBK" w:hAnsi="Times New Roman" w:eastAsia="方正仿宋_GBK" w:cs="Times New Roman"/>
          <w:color w:val="auto"/>
          <w:sz w:val="32"/>
          <w:szCs w:val="32"/>
        </w:rPr>
        <w:t>以中华门为核心的国际文化旅游目的地建设取得实质性进展</w:t>
      </w:r>
      <w:r>
        <w:rPr>
          <w:rFonts w:hint="eastAsia" w:ascii="方正仿宋_GBK" w:hAnsi="Times New Roman" w:eastAsia="方正仿宋_GBK" w:cs="Times New Roman"/>
          <w:color w:val="auto"/>
          <w:sz w:val="32"/>
          <w:szCs w:val="32"/>
          <w:lang w:eastAsia="zh-CN"/>
        </w:rPr>
        <w:t>；</w:t>
      </w:r>
      <w:r>
        <w:rPr>
          <w:rFonts w:hint="eastAsia" w:ascii="方正仿宋_GBK" w:hAnsi="Times New Roman" w:eastAsia="方正仿宋_GBK" w:cs="Times New Roman"/>
          <w:color w:val="auto"/>
          <w:sz w:val="32"/>
          <w:szCs w:val="32"/>
        </w:rPr>
        <w:t>高质量完成双塘园文化休闲街区、周处读书台“山水人文苑”等一批重大文旅商融合项目</w:t>
      </w:r>
      <w:r>
        <w:rPr>
          <w:rFonts w:hint="eastAsia" w:ascii="方正仿宋_GBK" w:hAnsi="Times New Roman" w:eastAsia="方正仿宋_GBK" w:cs="Times New Roman"/>
          <w:color w:val="auto"/>
          <w:sz w:val="32"/>
          <w:szCs w:val="32"/>
          <w:lang w:eastAsia="zh-CN"/>
        </w:rPr>
        <w:t>；</w:t>
      </w:r>
      <w:r>
        <w:rPr>
          <w:rFonts w:eastAsia="仿宋"/>
          <w:color w:val="auto"/>
          <w:sz w:val="32"/>
          <w:szCs w:val="32"/>
          <w:highlight w:val="none"/>
        </w:rPr>
        <w:t>激发饮虹园、双塘园、荷花塘等储备地块潜能，成为保护更新模式创新策源地和推广地，建设系统保护梯队。</w:t>
      </w:r>
      <w:r>
        <w:rPr>
          <w:rFonts w:hint="eastAsia" w:ascii="方正仿宋_GBK" w:hAnsi="Times New Roman" w:eastAsia="方正仿宋_GBK" w:cs="Times New Roman"/>
          <w:color w:val="auto"/>
          <w:sz w:val="32"/>
          <w:szCs w:val="32"/>
        </w:rPr>
        <w:t>启动门西数字街区等项目，打造文化最鲜明、产业最高端的“秦淮硅巷”</w:t>
      </w:r>
      <w:r>
        <w:rPr>
          <w:rFonts w:hint="eastAsia" w:ascii="方正仿宋_GBK" w:hAnsi="Times New Roman" w:eastAsia="方正仿宋_GBK" w:cs="Times New Roman"/>
          <w:color w:val="auto"/>
          <w:sz w:val="32"/>
          <w:szCs w:val="32"/>
          <w:lang w:eastAsia="zh-CN"/>
        </w:rPr>
        <w:t>；</w:t>
      </w:r>
      <w:r>
        <w:rPr>
          <w:rFonts w:hint="eastAsia" w:ascii="方正仿宋_GBK" w:hAnsi="Times New Roman" w:eastAsia="方正仿宋_GBK" w:cs="Times New Roman"/>
          <w:color w:val="auto"/>
          <w:sz w:val="32"/>
          <w:szCs w:val="32"/>
        </w:rPr>
        <w:t>建成“戏院里”沉浸式文旅商体验街区</w:t>
      </w:r>
      <w:r>
        <w:rPr>
          <w:rFonts w:hint="eastAsia" w:ascii="方正仿宋_GBK" w:hAnsi="Times New Roman" w:eastAsia="方正仿宋_GBK" w:cs="Times New Roman"/>
          <w:color w:val="auto"/>
          <w:sz w:val="32"/>
          <w:szCs w:val="32"/>
          <w:lang w:eastAsia="zh-CN"/>
        </w:rPr>
        <w:t>，</w:t>
      </w:r>
      <w:r>
        <w:rPr>
          <w:rFonts w:hint="eastAsia" w:ascii="方正仿宋_GBK" w:hAnsi="Times New Roman" w:eastAsia="方正仿宋_GBK" w:cs="Times New Roman"/>
          <w:color w:val="auto"/>
          <w:sz w:val="32"/>
          <w:szCs w:val="32"/>
        </w:rPr>
        <w:t>推进科举博物馆二期建设</w:t>
      </w:r>
      <w:r>
        <w:rPr>
          <w:rFonts w:hint="eastAsia" w:ascii="方正仿宋_GBK" w:hAnsi="Times New Roman" w:eastAsia="方正仿宋_GBK" w:cs="Times New Roman"/>
          <w:color w:val="auto"/>
          <w:sz w:val="32"/>
          <w:szCs w:val="32"/>
          <w:lang w:eastAsia="zh-CN"/>
        </w:rPr>
        <w:t>；</w:t>
      </w:r>
      <w:r>
        <w:rPr>
          <w:rFonts w:hint="eastAsia" w:ascii="方正仿宋_GBK" w:hAnsi="Times New Roman" w:eastAsia="方正仿宋_GBK" w:cs="Times New Roman"/>
          <w:color w:val="auto"/>
          <w:sz w:val="32"/>
          <w:szCs w:val="32"/>
        </w:rPr>
        <w:t>加快评事街历史风貌区保护与更新</w:t>
      </w:r>
      <w:r>
        <w:rPr>
          <w:rFonts w:hint="eastAsia" w:ascii="方正仿宋_GBK" w:hAnsi="Times New Roman" w:eastAsia="方正仿宋_GBK" w:cs="Times New Roman"/>
          <w:color w:val="auto"/>
          <w:sz w:val="32"/>
          <w:szCs w:val="32"/>
          <w:lang w:eastAsia="zh-CN"/>
        </w:rPr>
        <w:t>；</w:t>
      </w:r>
      <w:r>
        <w:rPr>
          <w:rFonts w:hint="eastAsia" w:ascii="方正仿宋_GBK" w:hAnsi="Times New Roman" w:eastAsia="方正仿宋_GBK" w:cs="Times New Roman"/>
          <w:color w:val="auto"/>
          <w:sz w:val="32"/>
          <w:szCs w:val="32"/>
        </w:rPr>
        <w:t>以西五华里二期项目为带动，形成“城河一体、水岸互动”的环状文化旅游休闲产业带。</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ascii="方正仿宋_GBK" w:hAnsi="Times New Roman" w:eastAsia="方正仿宋_GBK" w:cs="Times New Roman"/>
          <w:color w:val="auto"/>
          <w:sz w:val="32"/>
          <w:szCs w:val="32"/>
        </w:rPr>
      </w:pPr>
      <w:r>
        <w:rPr>
          <w:rFonts w:hint="eastAsia" w:ascii="方正仿宋_GBK" w:hAnsi="Times New Roman" w:eastAsia="方正仿宋_GBK" w:cs="Times New Roman"/>
          <w:b/>
          <w:color w:val="auto"/>
          <w:sz w:val="32"/>
          <w:szCs w:val="32"/>
          <w:lang w:val="en-US" w:eastAsia="zh-CN"/>
        </w:rPr>
        <w:t>3</w:t>
      </w:r>
      <w:r>
        <w:rPr>
          <w:rFonts w:hint="eastAsia" w:ascii="方正仿宋_GBK" w:hAnsi="Times New Roman" w:eastAsia="方正仿宋_GBK" w:cs="Times New Roman"/>
          <w:b/>
          <w:color w:val="auto"/>
          <w:sz w:val="32"/>
          <w:szCs w:val="32"/>
        </w:rPr>
        <w:t>、</w:t>
      </w:r>
      <w:r>
        <w:rPr>
          <w:rFonts w:ascii="方正仿宋_GBK" w:hAnsi="Times New Roman" w:eastAsia="方正仿宋_GBK" w:cs="Times New Roman"/>
          <w:b/>
          <w:color w:val="auto"/>
          <w:sz w:val="32"/>
          <w:szCs w:val="32"/>
        </w:rPr>
        <w:t>加大风景名胜资源保护力度</w:t>
      </w:r>
      <w:r>
        <w:rPr>
          <w:rFonts w:hint="eastAsia" w:ascii="方正仿宋_GBK" w:hAnsi="Times New Roman" w:eastAsia="方正仿宋_GBK" w:cs="Times New Roman"/>
          <w:b/>
          <w:color w:val="auto"/>
          <w:sz w:val="32"/>
          <w:szCs w:val="32"/>
        </w:rPr>
        <w:t>。</w:t>
      </w:r>
      <w:r>
        <w:rPr>
          <w:rFonts w:hint="eastAsia" w:ascii="方正仿宋_GBK" w:hAnsi="Times New Roman" w:eastAsia="方正仿宋_GBK" w:cs="Times New Roman"/>
          <w:color w:val="auto"/>
          <w:sz w:val="32"/>
          <w:szCs w:val="32"/>
        </w:rPr>
        <w:t>把</w:t>
      </w:r>
      <w:r>
        <w:rPr>
          <w:rFonts w:ascii="方正仿宋_GBK" w:hAnsi="Times New Roman" w:eastAsia="方正仿宋_GBK" w:cs="Times New Roman"/>
          <w:color w:val="auto"/>
          <w:sz w:val="32"/>
          <w:szCs w:val="32"/>
        </w:rPr>
        <w:t>风景名胜资源保护放在首要地位，</w:t>
      </w:r>
      <w:r>
        <w:rPr>
          <w:rFonts w:hint="eastAsia" w:ascii="方正仿宋_GBK" w:hAnsi="Times New Roman" w:eastAsia="方正仿宋_GBK" w:cs="Times New Roman"/>
          <w:color w:val="auto"/>
          <w:sz w:val="32"/>
          <w:szCs w:val="32"/>
        </w:rPr>
        <w:t>充分使用</w:t>
      </w:r>
      <w:r>
        <w:rPr>
          <w:rFonts w:ascii="方正仿宋_GBK" w:hAnsi="Times New Roman" w:eastAsia="方正仿宋_GBK" w:cs="Times New Roman"/>
          <w:color w:val="auto"/>
          <w:sz w:val="32"/>
          <w:szCs w:val="32"/>
        </w:rPr>
        <w:t>风景名胜区保护资金，对风貌建筑</w:t>
      </w:r>
      <w:r>
        <w:rPr>
          <w:rFonts w:hint="eastAsia" w:ascii="方正仿宋_GBK" w:hAnsi="Times New Roman" w:eastAsia="方正仿宋_GBK" w:cs="Times New Roman"/>
          <w:color w:val="auto"/>
          <w:sz w:val="32"/>
          <w:szCs w:val="32"/>
        </w:rPr>
        <w:t>进行科学</w:t>
      </w:r>
      <w:r>
        <w:rPr>
          <w:rFonts w:ascii="方正仿宋_GBK" w:hAnsi="Times New Roman" w:eastAsia="方正仿宋_GBK" w:cs="Times New Roman"/>
          <w:color w:val="auto"/>
          <w:sz w:val="32"/>
          <w:szCs w:val="32"/>
        </w:rPr>
        <w:t>保护、</w:t>
      </w:r>
      <w:r>
        <w:rPr>
          <w:rFonts w:hint="eastAsia" w:ascii="方正仿宋_GBK" w:hAnsi="Times New Roman" w:eastAsia="方正仿宋_GBK" w:cs="Times New Roman"/>
          <w:color w:val="auto"/>
          <w:sz w:val="32"/>
          <w:szCs w:val="32"/>
        </w:rPr>
        <w:t>合理</w:t>
      </w:r>
      <w:r>
        <w:rPr>
          <w:rFonts w:ascii="方正仿宋_GBK" w:hAnsi="Times New Roman" w:eastAsia="方正仿宋_GBK" w:cs="Times New Roman"/>
          <w:color w:val="auto"/>
          <w:sz w:val="32"/>
          <w:szCs w:val="32"/>
        </w:rPr>
        <w:t>修缮等。保护对象不仅</w:t>
      </w:r>
      <w:r>
        <w:rPr>
          <w:rFonts w:hint="eastAsia" w:ascii="方正仿宋_GBK" w:hAnsi="Times New Roman" w:eastAsia="方正仿宋_GBK" w:cs="Times New Roman"/>
          <w:color w:val="auto"/>
          <w:sz w:val="32"/>
          <w:szCs w:val="32"/>
        </w:rPr>
        <w:t>限于</w:t>
      </w:r>
      <w:r>
        <w:rPr>
          <w:rFonts w:ascii="方正仿宋_GBK" w:hAnsi="Times New Roman" w:eastAsia="方正仿宋_GBK" w:cs="Times New Roman"/>
          <w:color w:val="auto"/>
          <w:sz w:val="32"/>
          <w:szCs w:val="32"/>
        </w:rPr>
        <w:t>街区内的名胜资源、古树名木，也包括金陵琴派、南京剪纸、秦淮灯会、南京白局、夫子庙小吃制作技艺等非物质文化遗产，还包括历史地名、历史掌故等。在具体保护举措上</w:t>
      </w:r>
      <w:r>
        <w:rPr>
          <w:rFonts w:hint="eastAsia" w:ascii="方正仿宋_GBK" w:hAnsi="Times New Roman" w:eastAsia="方正仿宋_GBK" w:cs="Times New Roman"/>
          <w:color w:val="auto"/>
          <w:sz w:val="32"/>
          <w:szCs w:val="32"/>
        </w:rPr>
        <w:t>，</w:t>
      </w:r>
      <w:r>
        <w:rPr>
          <w:rFonts w:ascii="方正仿宋_GBK" w:hAnsi="Times New Roman" w:eastAsia="方正仿宋_GBK" w:cs="Times New Roman"/>
          <w:color w:val="auto"/>
          <w:sz w:val="32"/>
          <w:szCs w:val="32"/>
        </w:rPr>
        <w:t>鼓励和支持小餐饮进入集中场所和街区经营，组织、引导经营者加强秦淮风味小吃品牌建设，引导经营者改善经营条件，执行小吃相关标准，挖掘小吃文化内涵，培育特色小吃品牌，提升小吃行业整体质量。鼓励行业协会依法申请注册“秦淮小吃”集体商标，保护和规范秦淮风味小吃产业发展</w:t>
      </w:r>
      <w:r>
        <w:rPr>
          <w:rFonts w:hint="eastAsia" w:ascii="方正仿宋_GBK" w:hAnsi="Times New Roman" w:eastAsia="方正仿宋_GBK" w:cs="Times New Roman"/>
          <w:color w:val="auto"/>
          <w:sz w:val="32"/>
          <w:szCs w:val="32"/>
        </w:rPr>
        <w:t>。</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Times New Roman" w:eastAsia="方正仿宋_GBK" w:cs="Times New Roman"/>
          <w:color w:val="auto"/>
          <w:sz w:val="28"/>
          <w:szCs w:val="28"/>
        </w:rPr>
      </w:pPr>
      <w:r>
        <w:rPr>
          <w:rFonts w:hint="eastAsia" w:ascii="方正仿宋_GBK" w:hAnsi="Times New Roman" w:eastAsia="方正仿宋_GBK" w:cs="Times New Roman"/>
          <w:b/>
          <w:bCs/>
          <w:color w:val="auto"/>
          <w:sz w:val="32"/>
          <w:szCs w:val="32"/>
          <w:lang w:val="en-US" w:eastAsia="zh-CN"/>
        </w:rPr>
        <w:t>4</w:t>
      </w:r>
      <w:r>
        <w:rPr>
          <w:rFonts w:hint="eastAsia" w:ascii="方正仿宋_GBK" w:hAnsi="Times New Roman" w:eastAsia="方正仿宋_GBK" w:cs="Times New Roman"/>
          <w:b/>
          <w:bCs/>
          <w:color w:val="auto"/>
          <w:sz w:val="32"/>
          <w:szCs w:val="32"/>
        </w:rPr>
        <w:t>、大力发展“夜间经济”“首店经济”“首发经济”。</w:t>
      </w:r>
      <w:r>
        <w:rPr>
          <w:rFonts w:hint="eastAsia" w:ascii="方正仿宋_GBK" w:hAnsi="Times New Roman" w:eastAsia="方正仿宋_GBK" w:cs="Times New Roman"/>
          <w:color w:val="auto"/>
          <w:sz w:val="32"/>
          <w:szCs w:val="32"/>
        </w:rPr>
        <w:t>依托片区地标性文化资源和景观特色，</w:t>
      </w:r>
      <w:r>
        <w:rPr>
          <w:rFonts w:hint="eastAsia" w:ascii="方正仿宋_GBK" w:hAnsi="Times New Roman" w:eastAsia="方正仿宋_GBK" w:cs="Times New Roman"/>
          <w:color w:val="auto"/>
          <w:kern w:val="0"/>
          <w:sz w:val="32"/>
          <w:szCs w:val="32"/>
          <w:lang w:val="zh-CN"/>
        </w:rPr>
        <w:t>集聚资源</w:t>
      </w:r>
      <w:r>
        <w:rPr>
          <w:rFonts w:hint="eastAsia" w:ascii="方正仿宋_GBK" w:hAnsi="Times New Roman" w:eastAsia="方正仿宋_GBK" w:cs="Times New Roman"/>
          <w:color w:val="auto"/>
          <w:kern w:val="0"/>
          <w:sz w:val="32"/>
          <w:szCs w:val="32"/>
        </w:rPr>
        <w:t>、</w:t>
      </w:r>
      <w:r>
        <w:rPr>
          <w:rFonts w:hint="eastAsia" w:ascii="方正仿宋_GBK" w:hAnsi="Times New Roman" w:eastAsia="方正仿宋_GBK" w:cs="Times New Roman"/>
          <w:color w:val="auto"/>
          <w:kern w:val="0"/>
          <w:sz w:val="32"/>
          <w:szCs w:val="32"/>
          <w:lang w:val="zh-CN"/>
        </w:rPr>
        <w:t>集中力量重点发展夫子庙—秦淮河—老门东夜间经济集聚片区</w:t>
      </w:r>
      <w:r>
        <w:rPr>
          <w:rFonts w:hint="eastAsia" w:ascii="方正仿宋_GBK" w:hAnsi="Times New Roman" w:eastAsia="方正仿宋_GBK" w:cs="Times New Roman"/>
          <w:color w:val="auto"/>
          <w:kern w:val="0"/>
          <w:sz w:val="32"/>
          <w:szCs w:val="32"/>
        </w:rPr>
        <w:t>，</w:t>
      </w:r>
      <w:r>
        <w:rPr>
          <w:rFonts w:hint="eastAsia" w:ascii="方正仿宋_GBK" w:hAnsi="Times New Roman" w:eastAsia="方正仿宋_GBK" w:cs="Times New Roman"/>
          <w:color w:val="auto"/>
          <w:sz w:val="32"/>
          <w:szCs w:val="32"/>
          <w:shd w:val="clear" w:color="auto" w:fill="FFFFFF"/>
        </w:rPr>
        <w:t>创成国家级夜间文旅消费集聚区。</w:t>
      </w:r>
      <w:r>
        <w:rPr>
          <w:rFonts w:hint="eastAsia" w:ascii="方正仿宋_GBK" w:hAnsi="Times New Roman" w:eastAsia="方正仿宋_GBK" w:cs="Times New Roman"/>
          <w:bCs/>
          <w:color w:val="auto"/>
          <w:sz w:val="32"/>
          <w:szCs w:val="32"/>
        </w:rPr>
        <w:t>立足市场主体，支持“灯光秀”、“夜间外摆市集”等一批项目</w:t>
      </w:r>
      <w:r>
        <w:rPr>
          <w:rFonts w:hint="eastAsia" w:ascii="方正仿宋_GBK" w:hAnsi="Times New Roman" w:eastAsia="方正仿宋_GBK" w:cs="Times New Roman"/>
          <w:bCs/>
          <w:color w:val="auto"/>
          <w:sz w:val="32"/>
          <w:szCs w:val="32"/>
          <w:lang w:eastAsia="zh-CN"/>
        </w:rPr>
        <w:t>，</w:t>
      </w:r>
      <w:r>
        <w:rPr>
          <w:rFonts w:hint="eastAsia" w:ascii="方正仿宋_GBK" w:hAnsi="Times New Roman" w:eastAsia="方正仿宋_GBK" w:cs="Times New Roman"/>
          <w:bCs/>
          <w:color w:val="auto"/>
          <w:sz w:val="32"/>
          <w:szCs w:val="32"/>
        </w:rPr>
        <w:t>将“秦淮有戏”小剧场群作为引爆点</w:t>
      </w:r>
      <w:r>
        <w:rPr>
          <w:rFonts w:hint="eastAsia" w:ascii="方正仿宋_GBK" w:hAnsi="Times New Roman" w:eastAsia="方正仿宋_GBK" w:cs="Times New Roman"/>
          <w:bCs/>
          <w:color w:val="auto"/>
          <w:sz w:val="32"/>
          <w:szCs w:val="32"/>
          <w:lang w:eastAsia="zh-CN"/>
        </w:rPr>
        <w:t>。加快“夜宿秦淮”建设，</w:t>
      </w:r>
      <w:r>
        <w:rPr>
          <w:rFonts w:hint="eastAsia" w:ascii="方正仿宋_GBK" w:hAnsi="Times New Roman" w:eastAsia="方正仿宋_GBK" w:cs="Times New Roman"/>
          <w:bCs/>
          <w:color w:val="auto"/>
          <w:sz w:val="32"/>
          <w:szCs w:val="32"/>
        </w:rPr>
        <w:t>壮大“夜泊秦淮”文化主题酒店群</w:t>
      </w:r>
      <w:r>
        <w:rPr>
          <w:rFonts w:hint="eastAsia" w:ascii="方正仿宋_GBK" w:hAnsi="Times New Roman" w:eastAsia="方正仿宋_GBK" w:cs="Times New Roman"/>
          <w:color w:val="auto"/>
          <w:sz w:val="32"/>
          <w:szCs w:val="32"/>
        </w:rPr>
        <w:t>，支持和鼓励一批闲置空间建设精品民宿。</w:t>
      </w:r>
      <w:r>
        <w:rPr>
          <w:rFonts w:hint="eastAsia" w:ascii="方正仿宋_GBK" w:hAnsi="Times New Roman" w:eastAsia="方正仿宋_GBK" w:cs="Times New Roman"/>
          <w:color w:val="auto"/>
          <w:sz w:val="32"/>
          <w:szCs w:val="32"/>
          <w:shd w:val="clear" w:color="auto" w:fill="FFFFFF"/>
        </w:rPr>
        <w:t>鼓励重点商圈延长营业时间，支持景区景点、博物馆、图书馆等延长开放时间</w:t>
      </w:r>
      <w:r>
        <w:rPr>
          <w:rFonts w:hint="eastAsia" w:ascii="方正仿宋_GBK" w:hAnsi="Times New Roman" w:eastAsia="方正仿宋_GBK" w:cs="Times New Roman"/>
          <w:color w:val="auto"/>
          <w:kern w:val="0"/>
          <w:sz w:val="32"/>
          <w:szCs w:val="32"/>
        </w:rPr>
        <w:t>。</w:t>
      </w:r>
      <w:r>
        <w:rPr>
          <w:rFonts w:hint="eastAsia" w:ascii="方正仿宋_GBK" w:hAnsi="Times New Roman" w:eastAsia="方正仿宋_GBK" w:cs="Times New Roman"/>
          <w:bCs/>
          <w:color w:val="auto"/>
          <w:sz w:val="32"/>
          <w:szCs w:val="32"/>
        </w:rPr>
        <w:t>组建首店招商联盟，形成品牌集聚效应</w:t>
      </w:r>
      <w:r>
        <w:rPr>
          <w:rFonts w:hint="eastAsia" w:ascii="方正仿宋_GBK" w:hAnsi="Times New Roman" w:eastAsia="方正仿宋_GBK" w:cs="Times New Roman"/>
          <w:bCs/>
          <w:color w:val="auto"/>
          <w:sz w:val="32"/>
          <w:szCs w:val="32"/>
          <w:lang w:eastAsia="zh-CN"/>
        </w:rPr>
        <w:t>，</w:t>
      </w:r>
      <w:r>
        <w:rPr>
          <w:rFonts w:hint="eastAsia" w:ascii="方正仿宋_GBK" w:hAnsi="Times New Roman" w:eastAsia="方正仿宋_GBK" w:cs="Times New Roman"/>
          <w:bCs/>
          <w:color w:val="auto"/>
          <w:sz w:val="32"/>
          <w:szCs w:val="32"/>
        </w:rPr>
        <w:t>鼓励“老字号”新建改建品牌形象店，重点引进旗舰店、首店，</w:t>
      </w:r>
      <w:r>
        <w:rPr>
          <w:rFonts w:hint="eastAsia" w:ascii="方正仿宋_GBK" w:hAnsi="Times New Roman" w:eastAsia="方正仿宋_GBK" w:cs="Times New Roman"/>
          <w:color w:val="auto"/>
          <w:sz w:val="32"/>
          <w:szCs w:val="32"/>
        </w:rPr>
        <w:t>努力成为全国和南京首店、旗舰店、体验店的首选地。</w:t>
      </w:r>
      <w:r>
        <w:rPr>
          <w:rFonts w:hint="eastAsia" w:ascii="方正仿宋_GBK" w:hAnsi="Times New Roman" w:eastAsia="方正仿宋_GBK" w:cs="Times New Roman"/>
          <w:bCs/>
          <w:color w:val="auto"/>
          <w:sz w:val="32"/>
          <w:szCs w:val="32"/>
        </w:rPr>
        <w:t>加快发展</w:t>
      </w:r>
      <w:r>
        <w:rPr>
          <w:rFonts w:hint="eastAsia" w:ascii="方正仿宋_GBK" w:hAnsi="Times New Roman" w:eastAsia="方正仿宋_GBK" w:cs="Times New Roman"/>
          <w:color w:val="auto"/>
          <w:sz w:val="32"/>
          <w:szCs w:val="32"/>
        </w:rPr>
        <w:t>首发经济</w:t>
      </w:r>
      <w:r>
        <w:rPr>
          <w:rFonts w:hint="eastAsia" w:ascii="方正仿宋_GBK" w:hAnsi="Times New Roman" w:eastAsia="方正仿宋_GBK" w:cs="Times New Roman"/>
          <w:bCs/>
          <w:color w:val="auto"/>
          <w:sz w:val="32"/>
          <w:szCs w:val="32"/>
        </w:rPr>
        <w:t>，鼓励潮流年轻品牌、设计师品牌举办新品首发会。</w:t>
      </w:r>
      <w:r>
        <w:rPr>
          <w:rFonts w:hint="eastAsia" w:ascii="方正仿宋_GBK" w:hAnsi="Times New Roman" w:eastAsia="方正仿宋_GBK" w:cs="Times New Roman"/>
          <w:color w:val="auto"/>
          <w:sz w:val="32"/>
          <w:szCs w:val="32"/>
        </w:rPr>
        <w:t>着力扶持中华老字号企业注入时代和时尚元素，开展新品首发</w:t>
      </w:r>
      <w:r>
        <w:rPr>
          <w:rFonts w:hint="eastAsia" w:ascii="方正仿宋_GBK" w:hAnsi="Times New Roman" w:eastAsia="方正仿宋_GBK" w:cs="Times New Roman"/>
          <w:color w:val="auto"/>
          <w:sz w:val="32"/>
          <w:szCs w:val="32"/>
          <w:lang w:eastAsia="zh-CN"/>
        </w:rPr>
        <w:t>展示</w:t>
      </w:r>
      <w:r>
        <w:rPr>
          <w:rFonts w:hint="eastAsia" w:ascii="方正仿宋_GBK" w:hAnsi="Times New Roman" w:eastAsia="方正仿宋_GBK" w:cs="Times New Roman"/>
          <w:color w:val="auto"/>
          <w:sz w:val="32"/>
          <w:szCs w:val="32"/>
        </w:rPr>
        <w:t>推介。</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仿宋" w:hAnsi="仿宋" w:eastAsia="仿宋" w:cs="仿宋"/>
          <w:color w:val="auto"/>
          <w:kern w:val="2"/>
          <w:sz w:val="32"/>
          <w:szCs w:val="32"/>
          <w:lang w:eastAsia="zh-CN"/>
        </w:rPr>
      </w:pPr>
      <w:r>
        <w:rPr>
          <w:rFonts w:hint="eastAsia" w:ascii="方正仿宋_GBK" w:hAnsi="Times New Roman" w:eastAsia="方正仿宋_GBK" w:cs="Times New Roman"/>
          <w:b/>
          <w:color w:val="auto"/>
          <w:sz w:val="32"/>
          <w:szCs w:val="32"/>
          <w:lang w:val="en-US" w:eastAsia="zh-CN"/>
        </w:rPr>
        <w:t>5</w:t>
      </w:r>
      <w:r>
        <w:rPr>
          <w:rFonts w:hint="eastAsia" w:ascii="方正仿宋_GBK" w:hAnsi="Times New Roman" w:eastAsia="方正仿宋_GBK" w:cs="Times New Roman"/>
          <w:b/>
          <w:color w:val="auto"/>
          <w:sz w:val="32"/>
          <w:szCs w:val="32"/>
        </w:rPr>
        <w:t>、突出特色IP打造与传播。</w:t>
      </w:r>
      <w:r>
        <w:rPr>
          <w:rFonts w:hint="eastAsia" w:ascii="方正仿宋_GBK" w:hAnsi="Times New Roman" w:eastAsia="方正仿宋_GBK" w:cs="Times New Roman"/>
          <w:color w:val="auto"/>
          <w:sz w:val="32"/>
          <w:szCs w:val="32"/>
        </w:rPr>
        <w:t>以塑造秦淮大IP为核心，培育一批发展后劲</w:t>
      </w:r>
      <w:r>
        <w:rPr>
          <w:rFonts w:hint="eastAsia" w:ascii="方正仿宋_GBK" w:hAnsi="Times New Roman" w:eastAsia="方正仿宋_GBK" w:cs="Times New Roman"/>
          <w:color w:val="auto"/>
          <w:sz w:val="32"/>
          <w:szCs w:val="32"/>
          <w:shd w:val="clear" w:color="auto" w:fill="FFFFFF"/>
        </w:rPr>
        <w:t>强、综合带动大、市场前景好、消费者评价高的文旅商融合示范IP项目，</w:t>
      </w:r>
      <w:r>
        <w:rPr>
          <w:rFonts w:hint="eastAsia" w:ascii="仿宋" w:hAnsi="仿宋" w:eastAsia="仿宋" w:cs="仿宋"/>
          <w:color w:val="auto"/>
          <w:sz w:val="32"/>
          <w:szCs w:val="32"/>
        </w:rPr>
        <w:t>打造由一个大IP串联的N个子IP的立体故事线和产业线</w:t>
      </w:r>
      <w:r>
        <w:rPr>
          <w:rFonts w:hint="eastAsia" w:ascii="仿宋" w:hAnsi="仿宋" w:eastAsia="仿宋" w:cs="仿宋"/>
          <w:color w:val="auto"/>
          <w:sz w:val="32"/>
          <w:szCs w:val="32"/>
          <w:lang w:eastAsia="zh-CN"/>
        </w:rPr>
        <w:t>，</w:t>
      </w:r>
      <w:r>
        <w:rPr>
          <w:rFonts w:hint="eastAsia" w:ascii="方正仿宋_GBK" w:hAnsi="Times New Roman" w:eastAsia="方正仿宋_GBK" w:cs="Times New Roman"/>
          <w:color w:val="auto"/>
          <w:sz w:val="32"/>
          <w:szCs w:val="32"/>
        </w:rPr>
        <w:t>为文旅商融</w:t>
      </w:r>
      <w:r>
        <w:rPr>
          <w:rFonts w:hint="eastAsia" w:ascii="仿宋" w:hAnsi="仿宋" w:eastAsia="仿宋" w:cs="仿宋"/>
          <w:color w:val="auto"/>
          <w:sz w:val="32"/>
          <w:szCs w:val="32"/>
        </w:rPr>
        <w:t>合发展赋能。</w:t>
      </w:r>
      <w:r>
        <w:rPr>
          <w:rFonts w:hint="eastAsia" w:ascii="仿宋" w:hAnsi="仿宋" w:eastAsia="仿宋" w:cs="仿宋"/>
          <w:color w:val="auto"/>
          <w:sz w:val="32"/>
          <w:szCs w:val="32"/>
          <w:lang w:eastAsia="zh-CN"/>
        </w:rPr>
        <w:t>一是</w:t>
      </w:r>
      <w:r>
        <w:rPr>
          <w:rFonts w:hint="eastAsia" w:eastAsia="仿宋"/>
          <w:color w:val="auto"/>
          <w:sz w:val="32"/>
          <w:szCs w:val="32"/>
          <w:highlight w:val="none"/>
          <w:lang w:eastAsia="zh-CN"/>
        </w:rPr>
        <w:t>打造“</w:t>
      </w:r>
      <w:r>
        <w:rPr>
          <w:rFonts w:eastAsia="仿宋"/>
          <w:color w:val="auto"/>
          <w:sz w:val="32"/>
          <w:szCs w:val="32"/>
          <w:highlight w:val="none"/>
        </w:rPr>
        <w:t>十里秦淮</w:t>
      </w:r>
      <w:r>
        <w:rPr>
          <w:rFonts w:hint="eastAsia" w:eastAsia="仿宋"/>
          <w:color w:val="auto"/>
          <w:sz w:val="32"/>
          <w:szCs w:val="32"/>
          <w:highlight w:val="none"/>
          <w:lang w:eastAsia="zh-CN"/>
        </w:rPr>
        <w:t>”</w:t>
      </w:r>
      <w:r>
        <w:rPr>
          <w:rFonts w:eastAsia="仿宋"/>
          <w:color w:val="auto"/>
          <w:sz w:val="32"/>
          <w:szCs w:val="32"/>
          <w:highlight w:val="none"/>
        </w:rPr>
        <w:t>IP</w:t>
      </w:r>
      <w:r>
        <w:rPr>
          <w:rFonts w:hint="eastAsia" w:eastAsia="仿宋"/>
          <w:color w:val="auto"/>
          <w:sz w:val="32"/>
          <w:szCs w:val="32"/>
          <w:highlight w:val="none"/>
          <w:lang w:eastAsia="zh-CN"/>
        </w:rPr>
        <w:t>，</w:t>
      </w:r>
      <w:r>
        <w:rPr>
          <w:rFonts w:hint="eastAsia" w:ascii="仿宋" w:hAnsi="仿宋" w:eastAsia="仿宋" w:cs="仿宋"/>
          <w:color w:val="auto"/>
          <w:sz w:val="32"/>
          <w:szCs w:val="32"/>
        </w:rPr>
        <w:t>提升沿内秦淮河段落文商旅融合带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聚焦文商旅产业融合和体验内涵</w:t>
      </w:r>
      <w:r>
        <w:rPr>
          <w:rFonts w:eastAsia="仿宋"/>
          <w:color w:val="auto"/>
          <w:sz w:val="32"/>
          <w:szCs w:val="32"/>
          <w:highlight w:val="none"/>
        </w:rPr>
        <w:t>升级，进一步挖掘展示沿岸线文化内涵，连贯畅通沿河通道，整合盘活文商旅资源，打造文化精华传承和历史风貌展示的体验窗口</w:t>
      </w:r>
      <w:r>
        <w:rPr>
          <w:rFonts w:hint="eastAsia" w:eastAsia="仿宋"/>
          <w:color w:val="auto"/>
          <w:sz w:val="32"/>
          <w:szCs w:val="32"/>
          <w:highlight w:val="none"/>
          <w:lang w:eastAsia="zh-CN"/>
        </w:rPr>
        <w:t>、</w:t>
      </w:r>
      <w:r>
        <w:rPr>
          <w:rFonts w:eastAsia="仿宋"/>
          <w:color w:val="auto"/>
          <w:sz w:val="32"/>
          <w:szCs w:val="32"/>
          <w:highlight w:val="none"/>
        </w:rPr>
        <w:t>文商旅融合发展的特色产业带</w:t>
      </w:r>
      <w:r>
        <w:rPr>
          <w:rFonts w:hint="eastAsia" w:eastAsia="仿宋"/>
          <w:color w:val="auto"/>
          <w:sz w:val="32"/>
          <w:szCs w:val="32"/>
          <w:highlight w:val="none"/>
          <w:lang w:eastAsia="zh-CN"/>
        </w:rPr>
        <w:t>。二是</w:t>
      </w:r>
      <w:r>
        <w:rPr>
          <w:rFonts w:hint="eastAsia" w:ascii="仿宋" w:hAnsi="仿宋" w:eastAsia="仿宋" w:cs="仿宋"/>
          <w:color w:val="auto"/>
          <w:kern w:val="2"/>
          <w:sz w:val="32"/>
          <w:szCs w:val="32"/>
        </w:rPr>
        <w:t>推进“千年科举”IP故事线和消费场景打造，将科举文化影响力进一步做大</w:t>
      </w:r>
      <w:r>
        <w:rPr>
          <w:rFonts w:hint="eastAsia" w:ascii="仿宋" w:hAnsi="仿宋" w:eastAsia="仿宋" w:cs="仿宋"/>
          <w:color w:val="auto"/>
          <w:kern w:val="2"/>
          <w:sz w:val="32"/>
          <w:szCs w:val="32"/>
          <w:lang w:eastAsia="zh-CN"/>
        </w:rPr>
        <w:t>。</w:t>
      </w:r>
      <w:r>
        <w:rPr>
          <w:rFonts w:hint="eastAsia" w:ascii="方正仿宋_GBK" w:hAnsi="Times New Roman" w:eastAsia="方正仿宋_GBK" w:cs="Times New Roman"/>
          <w:color w:val="auto"/>
          <w:sz w:val="32"/>
          <w:szCs w:val="32"/>
        </w:rPr>
        <w:t>深度</w:t>
      </w:r>
      <w:r>
        <w:rPr>
          <w:rFonts w:hint="eastAsia" w:ascii="方正仿宋_GBK" w:hAnsi="Times New Roman" w:eastAsia="方正仿宋_GBK" w:cs="Times New Roman"/>
          <w:color w:val="auto"/>
          <w:sz w:val="32"/>
        </w:rPr>
        <w:t>融入“一带一路”“长江经济带”“大运河文化带”，</w:t>
      </w:r>
      <w:r>
        <w:rPr>
          <w:rFonts w:hint="eastAsia" w:ascii="方正仿宋_GBK" w:hAnsi="Times New Roman" w:eastAsia="方正仿宋_GBK" w:cs="Times New Roman"/>
          <w:color w:val="auto"/>
          <w:sz w:val="32"/>
          <w:szCs w:val="32"/>
          <w:lang w:val="zh-CN"/>
        </w:rPr>
        <w:t>促进秦淮传统灯会的年轻化、时尚化、国际化，</w:t>
      </w:r>
      <w:r>
        <w:rPr>
          <w:rFonts w:hint="eastAsia" w:ascii="方正仿宋_GBK" w:hAnsi="Times New Roman" w:eastAsia="方正仿宋_GBK" w:cs="Times New Roman"/>
          <w:color w:val="auto"/>
          <w:sz w:val="32"/>
          <w:szCs w:val="32"/>
        </w:rPr>
        <w:t>扩大“天下第一灯会”的溢出效应。</w:t>
      </w:r>
      <w:r>
        <w:rPr>
          <w:rFonts w:eastAsia="仿宋"/>
          <w:color w:val="auto"/>
          <w:sz w:val="32"/>
          <w:szCs w:val="32"/>
          <w:highlight w:val="none"/>
        </w:rPr>
        <w:t>扶持鼓励原创文艺作品和项目孵化</w:t>
      </w:r>
      <w:r>
        <w:rPr>
          <w:rFonts w:hint="eastAsia" w:ascii="方正仿宋_GBK" w:hAnsi="Times New Roman" w:eastAsia="方正仿宋_GBK" w:cs="Times New Roman"/>
          <w:color w:val="auto"/>
          <w:sz w:val="32"/>
          <w:szCs w:val="32"/>
          <w:lang w:val="zh-CN"/>
        </w:rPr>
        <w:t>，综合运用到网络文学生产、文创产品开发、戏剧剧本创作、影视转化等方面，对接国内顶级</w:t>
      </w:r>
      <w:r>
        <w:rPr>
          <w:rFonts w:hint="eastAsia" w:ascii="方正仿宋_GBK" w:hAnsi="Times New Roman" w:eastAsia="方正仿宋_GBK" w:cs="Times New Roman"/>
          <w:color w:val="auto"/>
          <w:sz w:val="32"/>
          <w:szCs w:val="32"/>
        </w:rPr>
        <w:t>IP</w:t>
      </w:r>
      <w:r>
        <w:rPr>
          <w:rFonts w:hint="eastAsia" w:ascii="方正仿宋_GBK" w:hAnsi="Times New Roman" w:eastAsia="方正仿宋_GBK" w:cs="Times New Roman"/>
          <w:color w:val="auto"/>
          <w:sz w:val="32"/>
          <w:szCs w:val="32"/>
          <w:lang w:val="zh-CN"/>
        </w:rPr>
        <w:t>，推动线上流量与线下流量互动。三是梳理整合“一城一河”沿线空间资源，布局建设秦淮小剧场群，打响秦淮小剧场品牌</w:t>
      </w:r>
      <w:r>
        <w:rPr>
          <w:rFonts w:hint="eastAsia" w:ascii="方正仿宋_GBK" w:hAnsi="Times New Roman" w:eastAsia="方正仿宋_GBK" w:cs="Times New Roman"/>
          <w:color w:val="auto"/>
          <w:sz w:val="32"/>
          <w:szCs w:val="32"/>
          <w:lang w:val="zh-CN" w:eastAsia="zh-CN"/>
        </w:rPr>
        <w:t>，</w:t>
      </w:r>
      <w:r>
        <w:rPr>
          <w:rFonts w:hint="eastAsia" w:ascii="方正仿宋_GBK" w:hAnsi="Times New Roman" w:eastAsia="方正仿宋_GBK" w:cs="Times New Roman"/>
          <w:color w:val="auto"/>
          <w:sz w:val="32"/>
          <w:szCs w:val="32"/>
          <w:lang w:val="zh-CN"/>
        </w:rPr>
        <w:t>引进和孵化“城市记忆”、“芥子园”、“摇滚六朝”等一</w:t>
      </w:r>
      <w:r>
        <w:rPr>
          <w:rFonts w:hint="eastAsia" w:ascii="方正仿宋_GBK" w:hAnsi="Times New Roman" w:eastAsia="方正仿宋_GBK" w:cs="Times New Roman"/>
          <w:color w:val="auto"/>
          <w:sz w:val="32"/>
          <w:szCs w:val="32"/>
        </w:rPr>
        <w:t>批精品演艺项目</w:t>
      </w:r>
      <w:r>
        <w:rPr>
          <w:rFonts w:hint="eastAsia" w:ascii="方正仿宋_GBK" w:hAnsi="Times New Roman" w:eastAsia="方正仿宋_GBK" w:cs="Times New Roman"/>
          <w:color w:val="auto"/>
          <w:sz w:val="32"/>
          <w:szCs w:val="32"/>
          <w:lang w:eastAsia="zh-CN"/>
        </w:rPr>
        <w:t>。</w:t>
      </w:r>
      <w:r>
        <w:rPr>
          <w:rFonts w:hint="eastAsia" w:ascii="仿宋" w:hAnsi="仿宋" w:eastAsia="仿宋" w:cs="仿宋"/>
          <w:color w:val="auto"/>
          <w:kern w:val="2"/>
          <w:sz w:val="32"/>
          <w:szCs w:val="32"/>
        </w:rPr>
        <w:t>精心组织“桨声灯影里的大咖故荟”“中秋诗会”</w:t>
      </w:r>
      <w:r>
        <w:rPr>
          <w:rFonts w:hint="eastAsia" w:ascii="仿宋" w:hAnsi="仿宋" w:eastAsia="仿宋" w:cs="仿宋"/>
          <w:color w:val="auto"/>
          <w:kern w:val="2"/>
          <w:sz w:val="32"/>
          <w:szCs w:val="32"/>
          <w:lang w:eastAsia="zh-CN"/>
        </w:rPr>
        <w:t>“</w:t>
      </w:r>
      <w:r>
        <w:rPr>
          <w:rFonts w:hint="eastAsia" w:ascii="方正仿宋_GBK" w:hAnsi="Times New Roman" w:eastAsia="方正仿宋_GBK" w:cs="Times New Roman"/>
          <w:color w:val="auto"/>
          <w:sz w:val="32"/>
          <w:szCs w:val="32"/>
        </w:rPr>
        <w:t>南京创新周</w:t>
      </w:r>
      <w:r>
        <w:rPr>
          <w:rFonts w:hint="eastAsia" w:ascii="仿宋" w:hAnsi="仿宋" w:eastAsia="仿宋" w:cs="仿宋"/>
          <w:color w:val="auto"/>
          <w:kern w:val="2"/>
          <w:sz w:val="32"/>
          <w:szCs w:val="32"/>
          <w:lang w:eastAsia="zh-CN"/>
        </w:rPr>
        <w:t>”</w:t>
      </w:r>
      <w:r>
        <w:rPr>
          <w:rFonts w:hint="eastAsia" w:ascii="方正仿宋_GBK" w:hAnsi="Times New Roman" w:eastAsia="方正仿宋_GBK" w:cs="Times New Roman"/>
          <w:color w:val="auto"/>
          <w:sz w:val="32"/>
          <w:szCs w:val="32"/>
        </w:rPr>
        <w:t>“灯光艺术节”、“网络文学节”</w:t>
      </w:r>
      <w:r>
        <w:rPr>
          <w:rFonts w:hint="eastAsia" w:ascii="仿宋" w:hAnsi="仿宋" w:eastAsia="仿宋" w:cs="仿宋"/>
          <w:color w:val="auto"/>
          <w:kern w:val="2"/>
          <w:sz w:val="32"/>
          <w:szCs w:val="32"/>
        </w:rPr>
        <w:t>“南京艺术书展”等已有品牌活动，策划引进高级别、高流量、高影响的国际活动，不断增加城市人气指数</w:t>
      </w:r>
      <w:r>
        <w:rPr>
          <w:rFonts w:hint="eastAsia" w:ascii="仿宋" w:hAnsi="仿宋" w:eastAsia="仿宋" w:cs="仿宋"/>
          <w:color w:val="auto"/>
          <w:kern w:val="2"/>
          <w:sz w:val="32"/>
          <w:szCs w:val="32"/>
          <w:lang w:eastAsia="zh-CN"/>
        </w:rPr>
        <w:t>。</w:t>
      </w:r>
    </w:p>
    <w:p>
      <w:pPr>
        <w:pStyle w:val="2"/>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楷体_GBK" w:hAnsi="方正楷体_GBK" w:eastAsia="方正楷体_GBK" w:cs="方正楷体_GBK"/>
          <w:b/>
          <w:bCs w:val="0"/>
          <w:color w:val="auto"/>
          <w:sz w:val="32"/>
          <w:szCs w:val="32"/>
          <w:lang w:eastAsia="zh-CN"/>
        </w:rPr>
      </w:pPr>
      <w:r>
        <w:rPr>
          <w:rFonts w:hint="eastAsia" w:ascii="方正楷体_GBK" w:hAnsi="方正楷体_GBK" w:eastAsia="方正楷体_GBK" w:cs="方正楷体_GBK"/>
          <w:b/>
          <w:bCs w:val="0"/>
          <w:color w:val="auto"/>
          <w:sz w:val="32"/>
          <w:szCs w:val="32"/>
        </w:rPr>
        <w:t>（二）</w:t>
      </w:r>
      <w:r>
        <w:rPr>
          <w:rFonts w:hint="eastAsia" w:ascii="方正楷体_GBK" w:hAnsi="方正楷体_GBK" w:eastAsia="方正楷体_GBK" w:cs="方正楷体_GBK"/>
          <w:b/>
          <w:bCs w:val="0"/>
          <w:color w:val="auto"/>
          <w:sz w:val="32"/>
          <w:szCs w:val="32"/>
          <w:lang w:eastAsia="zh-CN"/>
        </w:rPr>
        <w:t>招引赋能，推动重大项目建设</w:t>
      </w:r>
      <w:bookmarkStart w:id="2" w:name="_Toc4732"/>
      <w:r>
        <w:rPr>
          <w:rFonts w:hint="eastAsia" w:ascii="方正楷体_GBK" w:hAnsi="方正楷体_GBK" w:eastAsia="方正楷体_GBK" w:cs="方正楷体_GBK"/>
          <w:b/>
          <w:bCs w:val="0"/>
          <w:color w:val="auto"/>
          <w:sz w:val="32"/>
          <w:szCs w:val="32"/>
          <w:lang w:eastAsia="zh-CN"/>
        </w:rPr>
        <w:t>落地。</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2"/>
        <w:jc w:val="both"/>
        <w:textAlignment w:val="auto"/>
        <w:rPr>
          <w:rFonts w:hint="eastAsia" w:ascii="方正仿宋_GBK" w:hAnsi="方正仿宋_GBK" w:eastAsia="方正仿宋_GBK" w:cs="方正仿宋_GBK"/>
          <w:color w:val="auto"/>
          <w:sz w:val="32"/>
          <w:szCs w:val="32"/>
          <w:lang w:val="zh-CN" w:eastAsia="zh-CN"/>
        </w:rPr>
      </w:pP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zh-CN" w:eastAsia="zh-CN"/>
        </w:rPr>
        <w:t>1、以企业招商带动盘中增量。</w:t>
      </w:r>
      <w:r>
        <w:rPr>
          <w:rFonts w:hint="eastAsia" w:ascii="方正仿宋_GBK" w:hAnsi="方正仿宋_GBK" w:eastAsia="方正仿宋_GBK" w:cs="方正仿宋_GBK"/>
          <w:color w:val="auto"/>
          <w:sz w:val="32"/>
          <w:szCs w:val="32"/>
          <w:lang w:val="zh-CN" w:eastAsia="zh-CN"/>
        </w:rPr>
        <w:t>一是引进重点企业。依托招商联盟，到2025年，重点新引进培育税收千万元以上企业3一5家。集中优质文化旅游资源培育、扶持夫子庙文旅集团等文旅企业做大做强，2025年底以前，实现板块1家公司上市。二是利用好楼宇载体开展招商。加大空置楼宇的梳理与招商，会同园区对存量企业进行统计分析，清理低效企业，持续开展楼宇园区低效企业清理或异地优质企业转引，推进载体产业集聚度提升，稳步推进楼宇经济“四个一批”重点任务。三是依托重点园区开展招商活动。招大商、招好商、招优商，引龙头月、引总部、引首店，放大特色园区的“龙头”效应。瞄准世界500强，中国500强，央企、民营企业500强，行业20强，“独角兽”企业以及外资上市公司，聚焦物联网、数字数智、金融业等行业细分领域头部企业，着力引进一批区域性总部以及研发、结算等功能性总部。进一步推动园区产业集聚，期末拟实现以文化创意为主导的特色园区5个，其中3家园区税收过亿元。</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2"/>
        <w:jc w:val="both"/>
        <w:textAlignment w:val="auto"/>
        <w:rPr>
          <w:rFonts w:hint="eastAsia" w:eastAsia="方正仿宋_GBK" w:asciiTheme="minorHAnsi" w:hAnsiTheme="minorHAnsi"/>
          <w:color w:val="auto"/>
          <w:kern w:val="0"/>
          <w:sz w:val="32"/>
          <w:szCs w:val="32"/>
        </w:rPr>
      </w:pPr>
      <w:r>
        <w:rPr>
          <w:rFonts w:hint="eastAsia" w:ascii="方正仿宋_GBK" w:hAnsi="方正仿宋_GBK" w:eastAsia="方正仿宋_GBK" w:cs="方正仿宋_GBK"/>
          <w:b/>
          <w:bCs/>
          <w:color w:val="auto"/>
          <w:sz w:val="32"/>
          <w:szCs w:val="32"/>
        </w:rPr>
        <w:t>2、投融资转型发展。</w:t>
      </w:r>
      <w:r>
        <w:rPr>
          <w:rFonts w:hint="eastAsia" w:ascii="方正仿宋_GBK" w:hAnsi="方正仿宋_GBK" w:eastAsia="方正仿宋_GBK" w:cs="方正仿宋_GBK"/>
          <w:color w:val="auto"/>
          <w:sz w:val="32"/>
          <w:szCs w:val="32"/>
        </w:rPr>
        <w:t>对接国际国内资本，畅通投融资渠道，研究上市路径，助力企业做大做强，实现资本多层次、市场化、可持续化运营发展。一是进一步完善新城反哺老城机制。积极争取市委市政府支持，进一步形成“利用老城资源促进新区发展、新区开发收益反哺老城保护”的良性互动，将南部新城开发项目形成的收益，统筹用于老城保护和更新改造项目。同时积极争取中央、省、市对老城更新改造、历史文化名城保护等各类资金补助。二是设立文旅发展和并购基金。以省文投大运河基金、汇鸿集团为龙头，做实大运河基金、秦淮河文化旅游发展基金会等一批项目，建立健全产业引导基金、风险投资基金和其他投融资方式相结合的投融资体系，形成文化产业基金集聚，在秦淮区创建基金产业园。发挥杠杆作用和乘数效应，鼓励社会基金投入秦淮，撬动社会资本投入，放大财政资金效应。三是优化股权市场融资渠道。抓住目前新三板加快发展以及证券市场注册制改革等机遇，推进文旅集团的智慧旅游、秦淮礼物、秦淮灯彩等项目“搭平台、做甲方”，找准合作伙伴，完善商业模式，按照上市目标做强主营业务，</w:t>
      </w:r>
      <w:r>
        <w:rPr>
          <w:rFonts w:hint="eastAsia" w:eastAsia="方正仿宋_GBK" w:asciiTheme="minorHAnsi" w:hAnsiTheme="minorHAnsi"/>
          <w:color w:val="auto"/>
          <w:kern w:val="0"/>
          <w:sz w:val="32"/>
          <w:szCs w:val="32"/>
        </w:rPr>
        <w:t xml:space="preserve">力争通过上市直接融资，助力实体经济高质量发展。 </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hint="eastAsia" w:ascii="方正仿宋_GBK" w:hAnsi="仿宋" w:eastAsia="方正仿宋_GBK" w:cs="仿宋"/>
          <w:color w:val="auto"/>
          <w:sz w:val="32"/>
          <w:szCs w:val="32"/>
          <w:lang w:val="zh-CN" w:eastAsia="zh-CN"/>
        </w:rPr>
      </w:pPr>
      <w:r>
        <w:rPr>
          <w:rFonts w:hint="eastAsia" w:ascii="方正仿宋_GBK" w:hAnsi="仿宋" w:eastAsia="方正仿宋_GBK" w:cs="仿宋"/>
          <w:b/>
          <w:bCs/>
          <w:color w:val="auto"/>
          <w:sz w:val="32"/>
          <w:szCs w:val="32"/>
          <w:lang w:val="en-US" w:eastAsia="zh-CN"/>
        </w:rPr>
        <w:t>3、</w:t>
      </w:r>
      <w:bookmarkEnd w:id="2"/>
      <w:r>
        <w:rPr>
          <w:rFonts w:hint="eastAsia" w:ascii="方正仿宋_GBK" w:hAnsi="仿宋" w:eastAsia="方正仿宋_GBK" w:cs="仿宋"/>
          <w:b/>
          <w:bCs/>
          <w:color w:val="auto"/>
          <w:sz w:val="32"/>
          <w:szCs w:val="32"/>
          <w:lang w:val="en-US" w:eastAsia="zh-CN"/>
        </w:rPr>
        <w:t>推动</w:t>
      </w:r>
      <w:r>
        <w:rPr>
          <w:rFonts w:hint="eastAsia" w:ascii="方正仿宋_GBK" w:hAnsi="仿宋" w:eastAsia="方正仿宋_GBK" w:cs="仿宋"/>
          <w:b/>
          <w:bCs/>
          <w:color w:val="auto"/>
          <w:sz w:val="32"/>
          <w:szCs w:val="32"/>
          <w:lang w:val="zh-CN"/>
        </w:rPr>
        <w:t>产业重大项目落地。</w:t>
      </w:r>
      <w:r>
        <w:rPr>
          <w:rFonts w:hint="eastAsia" w:eastAsia="仿宋"/>
          <w:bCs/>
          <w:color w:val="auto"/>
          <w:sz w:val="32"/>
          <w:szCs w:val="32"/>
          <w:highlight w:val="none"/>
        </w:rPr>
        <w:t>把</w:t>
      </w:r>
      <w:r>
        <w:rPr>
          <w:rFonts w:hint="eastAsia" w:eastAsia="仿宋"/>
          <w:bCs/>
          <w:color w:val="auto"/>
          <w:sz w:val="32"/>
          <w:szCs w:val="32"/>
          <w:highlight w:val="none"/>
          <w:lang w:val="zh-CN"/>
        </w:rPr>
        <w:t>产业重大</w:t>
      </w:r>
      <w:r>
        <w:rPr>
          <w:rFonts w:hint="eastAsia" w:ascii="仿宋" w:hAnsi="仿宋" w:eastAsia="仿宋" w:cs="仿宋"/>
          <w:color w:val="auto"/>
          <w:kern w:val="2"/>
          <w:sz w:val="32"/>
          <w:szCs w:val="32"/>
        </w:rPr>
        <w:t>项目建设作为</w:t>
      </w:r>
      <w:r>
        <w:rPr>
          <w:rFonts w:hint="eastAsia" w:ascii="仿宋" w:hAnsi="仿宋" w:eastAsia="仿宋" w:cs="仿宋"/>
          <w:color w:val="auto"/>
          <w:kern w:val="2"/>
          <w:sz w:val="32"/>
          <w:szCs w:val="32"/>
          <w:lang w:eastAsia="zh-CN"/>
        </w:rPr>
        <w:t>板块高质量</w:t>
      </w:r>
      <w:r>
        <w:rPr>
          <w:rFonts w:hint="eastAsia" w:ascii="仿宋" w:hAnsi="仿宋" w:eastAsia="仿宋" w:cs="仿宋"/>
          <w:color w:val="auto"/>
          <w:kern w:val="2"/>
          <w:sz w:val="32"/>
          <w:szCs w:val="32"/>
        </w:rPr>
        <w:t>发展的重中之重，挂图作战，滚动实施，加快重点项目落地见效</w:t>
      </w:r>
      <w:r>
        <w:rPr>
          <w:rFonts w:hint="eastAsia" w:ascii="仿宋" w:hAnsi="仿宋" w:eastAsia="仿宋" w:cs="仿宋"/>
          <w:color w:val="auto"/>
          <w:kern w:val="2"/>
          <w:sz w:val="32"/>
          <w:szCs w:val="32"/>
          <w:lang w:eastAsia="zh-CN"/>
        </w:rPr>
        <w:t>。</w:t>
      </w:r>
      <w:r>
        <w:rPr>
          <w:rFonts w:eastAsia="仿宋"/>
          <w:bCs/>
          <w:color w:val="auto"/>
          <w:sz w:val="32"/>
          <w:szCs w:val="32"/>
          <w:highlight w:val="none"/>
        </w:rPr>
        <w:t>实现白鹭洲公园“桨声灯影·文都行”2.0打版落地，建设戏院里、长乐剧场，策划小西湖、愚园、芥子园等片区的剧目展演，丰富“秦淮有戏”产品内涵层次。</w:t>
      </w:r>
      <w:r>
        <w:rPr>
          <w:rFonts w:hint="eastAsia" w:ascii="方正仿宋_GBK" w:hAnsi="仿宋" w:eastAsia="方正仿宋_GBK" w:cs="仿宋"/>
          <w:color w:val="auto"/>
          <w:sz w:val="32"/>
          <w:szCs w:val="32"/>
          <w:lang w:val="zh-CN" w:eastAsia="zh-CN"/>
        </w:rPr>
        <w:t>借鉴大唐不夜城等文商旅融合发展模式，推进西街地块、城市名人馆建设，策划门外越城“城市起源地”大型沉浸式体验项目，</w:t>
      </w:r>
      <w:r>
        <w:rPr>
          <w:rFonts w:hint="eastAsia" w:ascii="仿宋" w:hAnsi="仿宋" w:eastAsia="仿宋" w:cs="仿宋"/>
          <w:color w:val="auto"/>
          <w:kern w:val="2"/>
          <w:sz w:val="32"/>
          <w:szCs w:val="32"/>
        </w:rPr>
        <w:t>打造文旅融合城市客厅</w:t>
      </w:r>
      <w:r>
        <w:rPr>
          <w:rFonts w:hint="eastAsia" w:ascii="方正仿宋_GBK" w:hAnsi="仿宋" w:eastAsia="方正仿宋_GBK" w:cs="仿宋"/>
          <w:color w:val="auto"/>
          <w:sz w:val="32"/>
          <w:szCs w:val="32"/>
          <w:lang w:val="zh-CN" w:eastAsia="zh-CN"/>
        </w:rPr>
        <w:t>。加快门东东延、门西开发，推动以中华门为核心的国际文化旅游目的地建设取得实质性进展。</w:t>
      </w:r>
      <w:r>
        <w:rPr>
          <w:rFonts w:hint="eastAsia" w:ascii="仿宋" w:hAnsi="仿宋" w:eastAsia="仿宋" w:cs="仿宋"/>
          <w:color w:val="auto"/>
          <w:kern w:val="2"/>
          <w:sz w:val="32"/>
          <w:szCs w:val="32"/>
        </w:rPr>
        <w:t>加快建设来西五华里项目，联动孙楚酒楼、银都商厦，</w:t>
      </w:r>
      <w:r>
        <w:rPr>
          <w:rFonts w:hint="eastAsia" w:ascii="仿宋" w:hAnsi="仿宋" w:eastAsia="仿宋" w:cs="仿宋"/>
          <w:color w:val="auto"/>
          <w:kern w:val="2"/>
          <w:sz w:val="32"/>
          <w:szCs w:val="32"/>
          <w:lang w:eastAsia="zh-CN"/>
        </w:rPr>
        <w:t>促进</w:t>
      </w:r>
      <w:r>
        <w:rPr>
          <w:rFonts w:hint="eastAsia" w:ascii="仿宋" w:hAnsi="仿宋" w:eastAsia="仿宋" w:cs="仿宋"/>
          <w:color w:val="auto"/>
          <w:kern w:val="2"/>
          <w:sz w:val="32"/>
          <w:szCs w:val="32"/>
        </w:rPr>
        <w:t>“网络文学谷”繁荣</w:t>
      </w:r>
      <w:r>
        <w:rPr>
          <w:rFonts w:hint="eastAsia" w:ascii="仿宋" w:hAnsi="仿宋" w:eastAsia="仿宋" w:cs="仿宋"/>
          <w:color w:val="auto"/>
          <w:kern w:val="2"/>
          <w:sz w:val="32"/>
          <w:szCs w:val="32"/>
          <w:lang w:eastAsia="zh-CN"/>
        </w:rPr>
        <w:t>壮大</w:t>
      </w:r>
      <w:r>
        <w:rPr>
          <w:rFonts w:hint="eastAsia" w:ascii="仿宋" w:hAnsi="仿宋" w:eastAsia="仿宋" w:cs="仿宋"/>
          <w:color w:val="auto"/>
          <w:kern w:val="2"/>
          <w:sz w:val="32"/>
          <w:szCs w:val="32"/>
        </w:rPr>
        <w:t>，</w:t>
      </w:r>
      <w:r>
        <w:rPr>
          <w:rFonts w:eastAsia="仿宋"/>
          <w:color w:val="auto"/>
          <w:sz w:val="32"/>
          <w:szCs w:val="32"/>
          <w:highlight w:val="none"/>
        </w:rPr>
        <w:t>做大“网文谷”传播流量，发展网络文学的影视化转化和版权交易产业</w:t>
      </w:r>
      <w:r>
        <w:rPr>
          <w:rFonts w:hint="eastAsia" w:eastAsia="仿宋"/>
          <w:color w:val="auto"/>
          <w:sz w:val="32"/>
          <w:szCs w:val="32"/>
          <w:highlight w:val="none"/>
          <w:lang w:eastAsia="zh-CN"/>
        </w:rPr>
        <w:t>，</w:t>
      </w:r>
      <w:r>
        <w:rPr>
          <w:rFonts w:hint="eastAsia" w:ascii="仿宋" w:hAnsi="仿宋" w:eastAsia="仿宋" w:cs="仿宋"/>
          <w:color w:val="auto"/>
          <w:kern w:val="2"/>
          <w:sz w:val="32"/>
          <w:szCs w:val="32"/>
        </w:rPr>
        <w:t>建设南京文创产业</w:t>
      </w:r>
      <w:r>
        <w:rPr>
          <w:rFonts w:hint="eastAsia" w:ascii="仿宋" w:hAnsi="仿宋" w:eastAsia="仿宋" w:cs="仿宋"/>
          <w:color w:val="auto"/>
          <w:kern w:val="2"/>
          <w:sz w:val="32"/>
          <w:szCs w:val="32"/>
          <w:lang w:eastAsia="zh-CN"/>
        </w:rPr>
        <w:t>与泛娱乐发展</w:t>
      </w:r>
      <w:r>
        <w:rPr>
          <w:rFonts w:hint="eastAsia" w:ascii="仿宋" w:hAnsi="仿宋" w:eastAsia="仿宋" w:cs="仿宋"/>
          <w:color w:val="auto"/>
          <w:kern w:val="2"/>
          <w:sz w:val="32"/>
          <w:szCs w:val="32"/>
        </w:rPr>
        <w:t>新地标</w:t>
      </w:r>
      <w:r>
        <w:rPr>
          <w:rFonts w:hint="eastAsia" w:ascii="仿宋" w:hAnsi="仿宋" w:eastAsia="仿宋" w:cs="仿宋"/>
          <w:color w:val="auto"/>
          <w:kern w:val="2"/>
          <w:sz w:val="32"/>
          <w:szCs w:val="32"/>
          <w:lang w:eastAsia="zh-CN"/>
        </w:rPr>
        <w:t>。</w:t>
      </w:r>
      <w:r>
        <w:rPr>
          <w:rFonts w:hint="eastAsia" w:ascii="仿宋" w:hAnsi="仿宋" w:eastAsia="仿宋" w:cs="仿宋"/>
          <w:color w:val="auto"/>
          <w:kern w:val="2"/>
          <w:sz w:val="32"/>
          <w:szCs w:val="32"/>
        </w:rPr>
        <w:t>注重引进高质量、有影响、具有集聚效应的龙头文化企业落地</w:t>
      </w:r>
      <w:r>
        <w:rPr>
          <w:rFonts w:hint="eastAsia" w:ascii="仿宋" w:hAnsi="仿宋" w:eastAsia="仿宋" w:cs="仿宋"/>
          <w:color w:val="auto"/>
          <w:kern w:val="2"/>
          <w:sz w:val="32"/>
          <w:szCs w:val="32"/>
          <w:lang w:eastAsia="zh-CN"/>
        </w:rPr>
        <w:t>，</w:t>
      </w:r>
      <w:r>
        <w:rPr>
          <w:rFonts w:hint="eastAsia" w:ascii="仿宋" w:hAnsi="仿宋" w:eastAsia="仿宋" w:cs="仿宋"/>
          <w:color w:val="auto"/>
          <w:kern w:val="2"/>
          <w:sz w:val="32"/>
          <w:szCs w:val="32"/>
          <w:lang w:val="zh-CN" w:eastAsia="zh-CN"/>
        </w:rPr>
        <w:t>发挥“文和友”等文商旅头部企业作用，带动老城南片区流量热度和新潮程度再提升。</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2"/>
        <w:jc w:val="both"/>
        <w:textAlignment w:val="auto"/>
        <w:rPr>
          <w:rFonts w:hint="eastAsia" w:ascii="方正仿宋_GBK" w:hAnsi="仿宋" w:eastAsia="方正仿宋_GBK" w:cs="仿宋"/>
          <w:color w:val="auto"/>
          <w:sz w:val="32"/>
          <w:szCs w:val="32"/>
        </w:rPr>
      </w:pPr>
      <w:r>
        <w:rPr>
          <w:rFonts w:hint="eastAsia" w:ascii="方正仿宋_GBK" w:hAnsi="仿宋" w:eastAsia="方正仿宋_GBK" w:cs="仿宋"/>
          <w:color w:val="auto"/>
          <w:sz w:val="32"/>
          <w:szCs w:val="32"/>
          <w:lang w:val="en-US" w:eastAsia="zh-CN"/>
        </w:rPr>
        <w:t>4、</w:t>
      </w:r>
      <w:r>
        <w:rPr>
          <w:rFonts w:hint="eastAsia" w:ascii="方正仿宋_GBK" w:hAnsi="方正楷体_GBK" w:eastAsia="方正仿宋_GBK" w:cs="方正楷体_GBK"/>
          <w:b/>
          <w:color w:val="auto"/>
          <w:sz w:val="32"/>
          <w:szCs w:val="32"/>
        </w:rPr>
        <w:t>持续优化营商环境。</w:t>
      </w:r>
      <w:r>
        <w:rPr>
          <w:rFonts w:hint="eastAsia" w:ascii="方正仿宋_GBK" w:hAnsi="仿宋" w:eastAsia="方正仿宋_GBK" w:cs="仿宋"/>
          <w:color w:val="auto"/>
          <w:sz w:val="32"/>
          <w:szCs w:val="32"/>
        </w:rPr>
        <w:t>深入转变管理职能，优化完善职能体系，完善营商环境评价体系，滚动推出营商环境政策，探索实施一批突破性、引领性的服务举措，提高市场化、法治化水平，打造景区营商环境示范区。健全“服务管家”制度，创新监管方式，加强对中小企业服务，构建企业全生命周期服务体系。针对景区特殊阵地，持续放宽市场准入门槛，进一步精简行政审批事项，推进政务服务标准化规范化，扩大景区政务公开。持续完善政务服务平台建设，加强数字服务、数字监管建设，推进智慧化发展，运用技术手段提升市场治理能力，准确掌握</w:t>
      </w:r>
      <w:r>
        <w:rPr>
          <w:rFonts w:hint="eastAsia" w:ascii="方正仿宋_GBK" w:hAnsi="仿宋" w:eastAsia="方正仿宋_GBK" w:cs="仿宋"/>
          <w:color w:val="auto"/>
          <w:sz w:val="32"/>
          <w:szCs w:val="32"/>
          <w:lang w:eastAsia="zh-CN"/>
        </w:rPr>
        <w:t>街区</w:t>
      </w:r>
      <w:r>
        <w:rPr>
          <w:rFonts w:hint="eastAsia" w:ascii="方正仿宋_GBK" w:hAnsi="仿宋" w:eastAsia="方正仿宋_GBK" w:cs="仿宋"/>
          <w:color w:val="auto"/>
          <w:sz w:val="32"/>
          <w:szCs w:val="32"/>
        </w:rPr>
        <w:t>经营信息和动态情况。加强事中事后监管，对新产业新业态实行包容审慎监管，实施“互联网+信用监管”，扩大“双随机、一公开”监管，不断完善监管机制，规范市场竞争环境，提升市场安全，维护消费者权益。深化景区诚信建设，完善各项工作平台，健全各项制度保障，把消费者权益保护各项特色机制落到实处，总结形成可复制可推广的经验路子。</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仿宋" w:eastAsia="仿宋" w:cs="仿宋"/>
          <w:color w:val="auto"/>
          <w:sz w:val="32"/>
          <w:szCs w:val="32"/>
          <w:lang w:eastAsia="zh-CN"/>
        </w:rPr>
      </w:pPr>
      <w:r>
        <w:rPr>
          <w:rFonts w:hint="eastAsia" w:ascii="Times New Roman" w:hAnsi="Times New Roman" w:eastAsia="方正仿宋_GBK" w:cs="Times New Roman"/>
          <w:b/>
          <w:bCs/>
          <w:color w:val="auto"/>
          <w:sz w:val="32"/>
          <w:szCs w:val="32"/>
          <w:lang w:val="en-US" w:eastAsia="zh-CN"/>
        </w:rPr>
        <w:t>5</w:t>
      </w:r>
      <w:r>
        <w:rPr>
          <w:rFonts w:hint="eastAsia" w:ascii="Times New Roman" w:hAnsi="Times New Roman" w:eastAsia="方正仿宋_GBK" w:cs="Times New Roman"/>
          <w:b/>
          <w:bCs/>
          <w:color w:val="auto"/>
          <w:sz w:val="32"/>
          <w:szCs w:val="32"/>
        </w:rPr>
        <w:t>、对接文化专家与专业团队。</w:t>
      </w:r>
      <w:r>
        <w:rPr>
          <w:rFonts w:hint="eastAsia" w:ascii="Times New Roman" w:hAnsi="Times New Roman" w:eastAsia="方正仿宋_GBK" w:cs="Times New Roman"/>
          <w:color w:val="auto"/>
          <w:sz w:val="32"/>
          <w:szCs w:val="32"/>
        </w:rPr>
        <w:t>集聚领军型文化人才，培养引进国家级艺术大师、文化名家、非遗代表性传承人，设立名人工作室，针对老城南文化历史资源的传承保护和研究利用做专项研究与规划设计，挖掘辖区非遗资源，走活化利用道路。争取省、市文联、作协作家深入秦淮城市更新项目，创作一批既能集中体现文化传承、又能反映民生情怀文学作品，留下历史记忆</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国家文化科技创新服务联盟代旭、著名网络作家姞文、原联合国中文组组长何勇、国内博物馆专家刘海峰、古风音乐专家刘正国等领军人才，参与板块内园区创建。</w:t>
      </w:r>
      <w:r>
        <w:rPr>
          <w:rFonts w:eastAsia="仿宋"/>
          <w:bCs/>
          <w:color w:val="auto"/>
          <w:sz w:val="32"/>
          <w:szCs w:val="32"/>
          <w:highlight w:val="none"/>
        </w:rPr>
        <w:t>依托网络文学谷，引进国家级平台资源和头部作家，推进以秦淮故事为底色、为</w:t>
      </w:r>
      <w:r>
        <w:rPr>
          <w:rFonts w:hint="eastAsia" w:eastAsia="仿宋"/>
          <w:bCs/>
          <w:color w:val="auto"/>
          <w:sz w:val="32"/>
          <w:szCs w:val="32"/>
          <w:highlight w:val="none"/>
          <w:lang w:eastAsia="zh-CN"/>
        </w:rPr>
        <w:t>脉络</w:t>
      </w:r>
      <w:r>
        <w:rPr>
          <w:rFonts w:eastAsia="仿宋"/>
          <w:bCs/>
          <w:color w:val="auto"/>
          <w:sz w:val="32"/>
          <w:szCs w:val="32"/>
          <w:highlight w:val="none"/>
        </w:rPr>
        <w:t>、为潮流的网络文学及衍生产业链发展</w:t>
      </w:r>
      <w:r>
        <w:rPr>
          <w:rFonts w:hint="eastAsia" w:eastAsia="仿宋"/>
          <w:bCs/>
          <w:color w:val="auto"/>
          <w:sz w:val="32"/>
          <w:szCs w:val="32"/>
          <w:highlight w:val="none"/>
          <w:lang w:eastAsia="zh-CN"/>
        </w:rPr>
        <w:t>。十四五期间，秦淮区文化产业示范</w:t>
      </w:r>
      <w:r>
        <w:rPr>
          <w:rFonts w:hint="eastAsia" w:ascii="仿宋" w:hAnsi="仿宋" w:eastAsia="仿宋" w:cs="仿宋"/>
          <w:color w:val="auto"/>
          <w:sz w:val="32"/>
          <w:szCs w:val="32"/>
        </w:rPr>
        <w:t>园区设立名人工作室不少于10个</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培养引进国家级艺术大师、文化名家、非遗代表性传承人不少于10人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文化产业从业人员大专以上学历、中级以上技术职称等高端人才占比超过50%。</w:t>
      </w:r>
    </w:p>
    <w:p>
      <w:pPr>
        <w:pStyle w:val="2"/>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楷体_GBK" w:hAnsi="方正楷体_GBK" w:eastAsia="方正楷体_GBK" w:cs="方正楷体_GBK"/>
          <w:b/>
          <w:bCs w:val="0"/>
          <w:color w:val="auto"/>
          <w:sz w:val="32"/>
          <w:szCs w:val="32"/>
          <w:lang w:eastAsia="zh-CN"/>
        </w:rPr>
      </w:pPr>
      <w:r>
        <w:rPr>
          <w:rFonts w:hint="eastAsia" w:ascii="方正楷体_GBK" w:hAnsi="方正楷体_GBK" w:eastAsia="方正楷体_GBK" w:cs="方正楷体_GBK"/>
          <w:b/>
          <w:bCs w:val="0"/>
          <w:color w:val="auto"/>
          <w:sz w:val="32"/>
          <w:szCs w:val="32"/>
        </w:rPr>
        <w:t>（</w:t>
      </w:r>
      <w:r>
        <w:rPr>
          <w:rFonts w:hint="eastAsia" w:ascii="方正楷体_GBK" w:hAnsi="方正楷体_GBK" w:eastAsia="方正楷体_GBK" w:cs="方正楷体_GBK"/>
          <w:b/>
          <w:bCs w:val="0"/>
          <w:color w:val="auto"/>
          <w:sz w:val="32"/>
          <w:szCs w:val="32"/>
          <w:lang w:eastAsia="zh-CN"/>
        </w:rPr>
        <w:t>三</w:t>
      </w:r>
      <w:r>
        <w:rPr>
          <w:rFonts w:hint="eastAsia" w:ascii="方正楷体_GBK" w:hAnsi="方正楷体_GBK" w:eastAsia="方正楷体_GBK" w:cs="方正楷体_GBK"/>
          <w:b/>
          <w:bCs w:val="0"/>
          <w:color w:val="auto"/>
          <w:sz w:val="32"/>
          <w:szCs w:val="32"/>
        </w:rPr>
        <w:t>）</w:t>
      </w:r>
      <w:r>
        <w:rPr>
          <w:rFonts w:hint="eastAsia" w:ascii="方正楷体_GBK" w:hAnsi="方正楷体_GBK" w:eastAsia="方正楷体_GBK" w:cs="方正楷体_GBK"/>
          <w:b/>
          <w:bCs w:val="0"/>
          <w:color w:val="auto"/>
          <w:sz w:val="32"/>
          <w:szCs w:val="32"/>
          <w:lang w:eastAsia="zh-CN"/>
        </w:rPr>
        <w:t>智慧赋能，推动</w:t>
      </w:r>
      <w:r>
        <w:rPr>
          <w:rFonts w:hint="eastAsia" w:ascii="方正楷体_GBK" w:hAnsi="方正楷体_GBK" w:eastAsia="方正楷体_GBK" w:cs="方正楷体_GBK"/>
          <w:b/>
          <w:bCs w:val="0"/>
          <w:color w:val="auto"/>
          <w:sz w:val="32"/>
          <w:szCs w:val="32"/>
        </w:rPr>
        <w:t>景区管理</w:t>
      </w:r>
      <w:r>
        <w:rPr>
          <w:rFonts w:hint="eastAsia" w:ascii="方正楷体_GBK" w:hAnsi="方正楷体_GBK" w:eastAsia="方正楷体_GBK" w:cs="方正楷体_GBK"/>
          <w:b/>
          <w:bCs w:val="0"/>
          <w:color w:val="auto"/>
          <w:sz w:val="32"/>
          <w:szCs w:val="32"/>
          <w:lang w:eastAsia="zh-CN"/>
        </w:rPr>
        <w:t>再提升。</w:t>
      </w:r>
    </w:p>
    <w:p>
      <w:pPr>
        <w:pStyle w:val="4"/>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方正仿宋_GBK" w:eastAsia="方正仿宋_GBK" w:cs="方正仿宋_GBK"/>
          <w:color w:val="auto"/>
          <w:kern w:val="0"/>
          <w:sz w:val="32"/>
          <w:szCs w:val="32"/>
          <w:lang w:val="zh-CN"/>
        </w:rPr>
      </w:pPr>
      <w:r>
        <w:rPr>
          <w:rFonts w:hint="eastAsia" w:ascii="方正仿宋_GBK" w:hAnsi="方正楷体_GBK" w:eastAsia="方正仿宋_GBK" w:cs="方正楷体_GBK"/>
          <w:b/>
          <w:color w:val="auto"/>
          <w:sz w:val="32"/>
          <w:szCs w:val="32"/>
        </w:rPr>
        <w:t>1、运用智慧化手段提升管理品质</w:t>
      </w:r>
      <w:r>
        <w:rPr>
          <w:rFonts w:hint="eastAsia" w:ascii="方正仿宋_GBK" w:hAnsi="仿宋" w:eastAsia="方正仿宋_GBK" w:cs="仿宋"/>
          <w:b/>
          <w:color w:val="auto"/>
          <w:sz w:val="32"/>
          <w:szCs w:val="32"/>
        </w:rPr>
        <w:t>。</w:t>
      </w:r>
      <w:r>
        <w:rPr>
          <w:rFonts w:hint="eastAsia" w:ascii="方正仿宋_GBK" w:hAnsi="仿宋" w:eastAsia="方正仿宋_GBK" w:cs="仿宋"/>
          <w:b w:val="0"/>
          <w:bCs/>
          <w:color w:val="auto"/>
          <w:sz w:val="32"/>
          <w:szCs w:val="32"/>
          <w:lang w:eastAsia="zh-CN"/>
        </w:rPr>
        <w:t>持续强化智慧景区建设，</w:t>
      </w:r>
      <w:r>
        <w:rPr>
          <w:rFonts w:hint="eastAsia" w:ascii="方正仿宋_GBK" w:hAnsi="方正仿宋_GBK" w:eastAsia="方正仿宋_GBK" w:cs="方正仿宋_GBK"/>
          <w:b w:val="0"/>
          <w:bCs/>
          <w:color w:val="auto"/>
          <w:sz w:val="32"/>
          <w:szCs w:val="32"/>
        </w:rPr>
        <w:t>运用“智慧城管平台”、各级微信平台，将片区网格整合升级，把日常管理、问题发现</w:t>
      </w:r>
      <w:r>
        <w:rPr>
          <w:rFonts w:hint="eastAsia" w:ascii="方正仿宋_GBK" w:hAnsi="方正仿宋_GBK" w:eastAsia="方正仿宋_GBK" w:cs="方正仿宋_GBK"/>
          <w:color w:val="auto"/>
          <w:sz w:val="32"/>
          <w:szCs w:val="32"/>
        </w:rPr>
        <w:t>、整改落实贯穿起来，形成信息共享、上下联通、联动发力、立体监督的信息化管理机制。充分发挥</w:t>
      </w:r>
      <w:r>
        <w:rPr>
          <w:rFonts w:hint="eastAsia" w:ascii="方正仿宋_GBK" w:hAnsi="华文仿宋" w:eastAsia="方正仿宋_GBK" w:cs="Times New Roman"/>
          <w:color w:val="auto"/>
          <w:sz w:val="32"/>
          <w:szCs w:val="32"/>
        </w:rPr>
        <w:t>指挥调度中心的作用，</w:t>
      </w:r>
      <w:r>
        <w:rPr>
          <w:rFonts w:hint="eastAsia" w:ascii="方正仿宋_GBK" w:hAnsi="方正仿宋_GBK" w:eastAsia="方正仿宋_GBK" w:cs="方正仿宋_GBK"/>
          <w:color w:val="auto"/>
          <w:sz w:val="32"/>
          <w:szCs w:val="32"/>
        </w:rPr>
        <w:t>实现人员管理、问题交办、信息发布、应急指挥等功能整合，</w:t>
      </w:r>
      <w:r>
        <w:rPr>
          <w:rFonts w:hint="eastAsia" w:ascii="方正仿宋_GBK" w:hAnsi="方正仿宋_GBK" w:eastAsia="方正仿宋_GBK" w:cs="方正仿宋_GBK"/>
          <w:color w:val="auto"/>
          <w:kern w:val="0"/>
          <w:sz w:val="32"/>
          <w:szCs w:val="32"/>
          <w:lang w:val="zh-CN"/>
        </w:rPr>
        <w:t>通过分析监控数据和现场检查等方式，开展隐患排查预警，第一时间抓好整改工作。加强智慧旅游建设，</w:t>
      </w:r>
      <w:r>
        <w:rPr>
          <w:rFonts w:hint="eastAsia" w:ascii="方正仿宋_GBK" w:hAnsi="方正仿宋_GBK" w:eastAsia="方正仿宋_GBK" w:cs="方正仿宋_GBK"/>
          <w:color w:val="auto"/>
          <w:sz w:val="32"/>
          <w:szCs w:val="32"/>
        </w:rPr>
        <w:t>完善夫子庙景区官网平台，为社会提供住宿、餐饮、停车、景点等游客需要信息，通过手机短信向外地游客提供查询服务。健全消防监控网络，</w:t>
      </w:r>
      <w:r>
        <w:rPr>
          <w:rFonts w:hint="eastAsia" w:ascii="方正仿宋_GBK" w:hAnsi="方正仿宋_GBK" w:eastAsia="方正仿宋_GBK" w:cs="方正仿宋_GBK"/>
          <w:color w:val="auto"/>
          <w:kern w:val="0"/>
          <w:sz w:val="32"/>
          <w:szCs w:val="32"/>
          <w:lang w:val="zh-CN"/>
        </w:rPr>
        <w:t>依托物联网技术，与消防大队建立联动机制，对景区重点部位和餐饮业安装动态报警装置和消防喷淋系统，有针对性地加强风险防控，</w:t>
      </w:r>
      <w:r>
        <w:rPr>
          <w:rFonts w:hint="eastAsia" w:ascii="方正仿宋_GBK" w:hAnsi="方正仿宋_GBK" w:eastAsia="方正仿宋_GBK" w:cs="方正仿宋_GBK"/>
          <w:color w:val="auto"/>
          <w:sz w:val="32"/>
          <w:szCs w:val="32"/>
        </w:rPr>
        <w:t>提高景区安全防范水平</w:t>
      </w:r>
      <w:r>
        <w:rPr>
          <w:rFonts w:hint="eastAsia" w:ascii="方正仿宋_GBK" w:hAnsi="方正仿宋_GBK" w:eastAsia="方正仿宋_GBK" w:cs="方正仿宋_GBK"/>
          <w:color w:val="auto"/>
          <w:kern w:val="0"/>
          <w:sz w:val="32"/>
          <w:szCs w:val="32"/>
          <w:lang w:val="zh-CN"/>
        </w:rPr>
        <w:t>。</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仿宋" w:eastAsia="方正仿宋_GBK"/>
          <w:color w:val="auto"/>
          <w:sz w:val="32"/>
          <w:szCs w:val="32"/>
        </w:rPr>
      </w:pPr>
      <w:r>
        <w:rPr>
          <w:rFonts w:hint="eastAsia" w:ascii="方正仿宋_GBK" w:hAnsi="方正楷体_GBK" w:eastAsia="方正仿宋_GBK" w:cs="方正楷体_GBK"/>
          <w:b/>
          <w:color w:val="auto"/>
          <w:sz w:val="32"/>
          <w:szCs w:val="32"/>
        </w:rPr>
        <w:t>2、实施科技强安行动。</w:t>
      </w:r>
      <w:r>
        <w:rPr>
          <w:rFonts w:hint="eastAsia" w:ascii="方正仿宋_GBK" w:hAnsi="仿宋" w:eastAsia="方正仿宋_GBK"/>
          <w:color w:val="auto"/>
          <w:sz w:val="32"/>
          <w:szCs w:val="32"/>
        </w:rPr>
        <w:t>充分利用市应急管理“181”综合监管平台，发挥风险防控、预警预测、预案体系、处置资源、指挥调度等作用，完善安全生产监管，推进应急管理综合应用平台建设，运用大数据技术提高应急指挥、安全监管和自然灾害防治水平。开展安全生产应急云服务建设，完善各级安全生产应急数据库，建立动态更新管理机制。建设景区重点区域安全生产应急救援联动指挥决策平台，实现现场应急联动和跨区域多方异地协同应急。加强应急管理APP软件开发应用，提升应急管理工作效能。</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color w:val="auto"/>
        </w:rPr>
      </w:pPr>
      <w:r>
        <w:rPr>
          <w:rFonts w:hint="eastAsia" w:ascii="方正仿宋_GBK" w:hAnsi="方正楷体_GBK" w:eastAsia="方正仿宋_GBK" w:cs="方正楷体_GBK"/>
          <w:b/>
          <w:bCs w:val="0"/>
          <w:color w:val="auto"/>
          <w:sz w:val="32"/>
          <w:szCs w:val="32"/>
          <w:lang w:val="en-US" w:eastAsia="zh-CN"/>
        </w:rPr>
        <w:t>3</w:t>
      </w:r>
      <w:r>
        <w:rPr>
          <w:rFonts w:hint="eastAsia" w:ascii="方正仿宋_GBK" w:hAnsi="方正楷体_GBK" w:eastAsia="方正仿宋_GBK" w:cs="方正楷体_GBK"/>
          <w:b/>
          <w:bCs w:val="0"/>
          <w:color w:val="auto"/>
          <w:sz w:val="32"/>
          <w:szCs w:val="32"/>
        </w:rPr>
        <w:t>、</w:t>
      </w:r>
      <w:r>
        <w:rPr>
          <w:rFonts w:hint="eastAsia" w:ascii="方正仿宋_GBK" w:hAnsi="方正楷体_GBK" w:eastAsia="方正仿宋_GBK" w:cs="方正楷体_GBK"/>
          <w:b/>
          <w:bCs w:val="0"/>
          <w:color w:val="auto"/>
          <w:sz w:val="32"/>
          <w:szCs w:val="32"/>
          <w:lang w:val="zh-CN"/>
        </w:rPr>
        <w:t>共建共享常态化。</w:t>
      </w:r>
      <w:r>
        <w:rPr>
          <w:rFonts w:hint="eastAsia" w:ascii="方正仿宋_GBK" w:hAnsi="方正楷体_GBK" w:eastAsia="方正仿宋_GBK" w:cs="方正楷体_GBK"/>
          <w:b w:val="0"/>
          <w:bCs/>
          <w:color w:val="auto"/>
          <w:sz w:val="32"/>
          <w:szCs w:val="32"/>
        </w:rPr>
        <w:t>在景区服务管理上，加强党建联盟带动，广泛动员社会公众参与，充分发挥社会力量，统合各方面优势，推进景区众管自治，完善街区诚信联盟，强化夫子庙小吃协会职能，落实临街店长制责任，发挥城市治理公众委员会作用，构建社会文明、平安景区、志愿服务、共同治理体系，完善公安民警、街区管理人员、商户代表组成的街区平安志愿者大队，建立完善上下统一、社会联动的响应机制，融日常保障、平时管理、环境维护、安全监管、旅客服务、应急保障为一体，形成管委会主导、群众参与、多元支持、共建共享的景区治理格局。充分挖掘社会资源，</w:t>
      </w:r>
      <w:r>
        <w:rPr>
          <w:rFonts w:hint="eastAsia" w:ascii="方正仿宋_GBK" w:hAnsi="方正楷体_GBK" w:eastAsia="方正仿宋_GBK" w:cs="方正楷体_GBK"/>
          <w:b w:val="0"/>
          <w:bCs/>
          <w:color w:val="auto"/>
          <w:sz w:val="32"/>
          <w:szCs w:val="32"/>
          <w:lang w:val="zh-CN"/>
        </w:rPr>
        <w:t>实施优势互补放大，</w:t>
      </w:r>
      <w:r>
        <w:rPr>
          <w:rFonts w:hint="eastAsia" w:ascii="方正仿宋_GBK" w:hAnsi="方正楷体_GBK" w:eastAsia="方正仿宋_GBK" w:cs="方正楷体_GBK"/>
          <w:b w:val="0"/>
          <w:bCs/>
          <w:color w:val="auto"/>
          <w:sz w:val="32"/>
          <w:szCs w:val="32"/>
        </w:rPr>
        <w:t>将各方面</w:t>
      </w:r>
      <w:r>
        <w:rPr>
          <w:rFonts w:hint="eastAsia" w:ascii="方正仿宋_GBK" w:hAnsi="方正楷体_GBK" w:eastAsia="方正仿宋_GBK" w:cs="方正楷体_GBK"/>
          <w:b w:val="0"/>
          <w:bCs/>
          <w:color w:val="auto"/>
          <w:sz w:val="32"/>
          <w:szCs w:val="32"/>
          <w:lang w:val="zh-CN"/>
        </w:rPr>
        <w:t>蕴含资源变成景区优势品牌，</w:t>
      </w:r>
      <w:r>
        <w:rPr>
          <w:rFonts w:hint="eastAsia" w:ascii="方正仿宋_GBK" w:hAnsi="方正楷体_GBK" w:eastAsia="方正仿宋_GBK" w:cs="方正楷体_GBK"/>
          <w:b w:val="0"/>
          <w:bCs/>
          <w:color w:val="auto"/>
          <w:sz w:val="32"/>
          <w:szCs w:val="32"/>
        </w:rPr>
        <w:t>动员商家绿化美化门前环境，为景区共建景观小品，向社会开放内部厕所、停车场，将垃圾管理费转化为景区物业费，形成常态化共治共管氛围。</w:t>
      </w:r>
    </w:p>
    <w:p>
      <w:pPr>
        <w:pStyle w:val="6"/>
        <w:keepNext w:val="0"/>
        <w:keepLines w:val="0"/>
        <w:pageBreakBefore w:val="0"/>
        <w:numPr>
          <w:ilvl w:val="0"/>
          <w:numId w:val="1"/>
        </w:numPr>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实施5G智慧化覆盖项目。</w:t>
      </w:r>
      <w:r>
        <w:rPr>
          <w:rFonts w:hint="eastAsia" w:ascii="方正仿宋_GBK" w:hAnsi="方正仿宋_GBK" w:eastAsia="方正仿宋_GBK" w:cs="方正仿宋_GBK"/>
          <w:color w:val="auto"/>
          <w:sz w:val="32"/>
          <w:szCs w:val="32"/>
        </w:rPr>
        <w:t>实现夫子庙及周边区域的室内外5G覆盖，优先发展基于5G、超高清、增强现实、虚拟现实、人工智能等技术的新一代沉浸式体验型文化和旅游消费内容，计划实现远程VR观景、夜游秦淮、网上博物馆、5G游船和360度全息舞台等5G创新应用研究。推动酒店行业的智能化升级和效率提升，计划将5G网络、终端、云应用引入酒店商用场景，围绕酒店住宿全流程推出智能化解决方案，客户可通过5G手机等终端体验5G酒店创新应用。计划由江苏移动和南京城建历史文化街区开发有限责任公司负责打造熙南里5G智慧街区，以5G网络全覆盖为基础，实现街区5G景区、街区智慧办公、应急安防、智慧消防、游客服务、招商服务、综合物业、能源管理等领域的智能化应用。</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仿宋" w:eastAsia="方正仿宋_GBK"/>
          <w:b/>
          <w:bCs/>
          <w:color w:val="auto"/>
          <w:sz w:val="32"/>
          <w:szCs w:val="32"/>
          <w:lang w:val="en-US" w:eastAsia="zh-CN"/>
        </w:rPr>
        <w:t>5</w:t>
      </w:r>
      <w:r>
        <w:rPr>
          <w:rFonts w:hint="eastAsia" w:ascii="方正仿宋_GBK" w:hAnsi="仿宋" w:eastAsia="方正仿宋_GBK"/>
          <w:b/>
          <w:bCs/>
          <w:color w:val="auto"/>
          <w:sz w:val="32"/>
          <w:szCs w:val="32"/>
        </w:rPr>
        <w:t>、诚信管理特色化。</w:t>
      </w:r>
      <w:r>
        <w:rPr>
          <w:rFonts w:hint="eastAsia" w:ascii="方正仿宋_GBK" w:hAnsi="仿宋" w:eastAsia="方正仿宋_GBK"/>
          <w:b w:val="0"/>
          <w:bCs w:val="0"/>
          <w:color w:val="auto"/>
          <w:sz w:val="32"/>
          <w:szCs w:val="32"/>
        </w:rPr>
        <w:t>一是创新景区旅游消费维权新型机制，前移消费维权窗口，健全消费投诉处理中心，完善投诉处理制度，确保投诉渠道畅通。二是完善小额争议快速认定、先行赔付制度，引导柜台或商场超市，为销售者提供经营服务的经营者，建立完善赔偿先付制度，侵害消费者合法权益行为时，可由商场、市场和平台经营者向消费者先行赔付。三是推行“七天无理由退货制度”，为促进景区旅游消费发展，游客对所购商品不满意的，以购物后7日为标准，可依据规定和有效购物凭证办理退换货。四是设立投诉快速处理商家片区，完善秦淮人家和冯鑫记两个商家试点片区，实行统一管理机制，便于快速实施投诉联动处理。五是实行游客直接投诉十五分钟现场处理机制，第一时间响应游客投诉，现场依法快速处理</w:t>
      </w:r>
      <w:r>
        <w:rPr>
          <w:rFonts w:hint="eastAsia" w:ascii="方正仿宋_GBK" w:hAnsi="仿宋" w:eastAsia="方正仿宋_GBK"/>
          <w:b w:val="0"/>
          <w:bCs w:val="0"/>
          <w:color w:val="auto"/>
          <w:sz w:val="32"/>
          <w:szCs w:val="32"/>
          <w:lang w:eastAsia="zh-CN"/>
        </w:rPr>
        <w:t>，</w:t>
      </w:r>
      <w:r>
        <w:rPr>
          <w:rFonts w:hint="eastAsia" w:ascii="方正仿宋_GBK" w:hAnsi="仿宋" w:eastAsia="方正仿宋_GBK"/>
          <w:b w:val="0"/>
          <w:bCs w:val="0"/>
          <w:color w:val="auto"/>
          <w:sz w:val="32"/>
          <w:szCs w:val="32"/>
        </w:rPr>
        <w:t>并将结果反馈给投诉人</w:t>
      </w:r>
      <w:r>
        <w:rPr>
          <w:rFonts w:hint="eastAsia" w:ascii="方正仿宋_GBK" w:hAnsi="仿宋" w:eastAsia="方正仿宋_GBK"/>
          <w:b w:val="0"/>
          <w:bCs w:val="0"/>
          <w:color w:val="auto"/>
          <w:sz w:val="32"/>
          <w:szCs w:val="32"/>
          <w:lang w:eastAsia="zh-CN"/>
        </w:rPr>
        <w:t>，切实改善旅游消费体验</w:t>
      </w:r>
      <w:r>
        <w:rPr>
          <w:rFonts w:hint="eastAsia" w:ascii="方正仿宋_GBK" w:hAnsi="仿宋" w:eastAsia="方正仿宋_GBK"/>
          <w:color w:val="auto"/>
          <w:sz w:val="32"/>
          <w:szCs w:val="32"/>
        </w:rPr>
        <w:t>。</w:t>
      </w:r>
    </w:p>
    <w:p>
      <w:pPr>
        <w:pStyle w:val="2"/>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楷体_GBK" w:hAnsi="方正楷体_GBK" w:eastAsia="方正楷体_GBK" w:cs="方正楷体_GBK"/>
          <w:b/>
          <w:bCs w:val="0"/>
          <w:color w:val="auto"/>
          <w:sz w:val="32"/>
          <w:szCs w:val="32"/>
        </w:rPr>
      </w:pPr>
      <w:r>
        <w:rPr>
          <w:rFonts w:hint="eastAsia" w:ascii="方正楷体_GBK" w:hAnsi="方正楷体_GBK" w:eastAsia="方正楷体_GBK" w:cs="方正楷体_GBK"/>
          <w:b/>
          <w:bCs w:val="0"/>
          <w:color w:val="auto"/>
          <w:sz w:val="32"/>
          <w:szCs w:val="32"/>
        </w:rPr>
        <w:t>（</w:t>
      </w:r>
      <w:r>
        <w:rPr>
          <w:rFonts w:hint="eastAsia" w:ascii="方正楷体_GBK" w:hAnsi="方正楷体_GBK" w:eastAsia="方正楷体_GBK" w:cs="方正楷体_GBK"/>
          <w:b/>
          <w:bCs w:val="0"/>
          <w:color w:val="auto"/>
          <w:sz w:val="32"/>
          <w:szCs w:val="32"/>
          <w:lang w:eastAsia="zh-CN"/>
        </w:rPr>
        <w:t>四</w:t>
      </w:r>
      <w:r>
        <w:rPr>
          <w:rFonts w:hint="eastAsia" w:ascii="方正楷体_GBK" w:hAnsi="方正楷体_GBK" w:eastAsia="方正楷体_GBK" w:cs="方正楷体_GBK"/>
          <w:b/>
          <w:bCs w:val="0"/>
          <w:color w:val="auto"/>
          <w:sz w:val="32"/>
          <w:szCs w:val="32"/>
        </w:rPr>
        <w:t>）</w:t>
      </w:r>
      <w:r>
        <w:rPr>
          <w:rFonts w:hint="eastAsia" w:ascii="方正楷体_GBK" w:hAnsi="方正楷体_GBK" w:eastAsia="方正楷体_GBK" w:cs="方正楷体_GBK"/>
          <w:b/>
          <w:bCs w:val="0"/>
          <w:color w:val="auto"/>
          <w:sz w:val="32"/>
          <w:szCs w:val="32"/>
          <w:lang w:eastAsia="zh-CN"/>
        </w:rPr>
        <w:t>消费赋能，激发经济产业高质量发展潜力。</w:t>
      </w:r>
    </w:p>
    <w:p>
      <w:pPr>
        <w:keepNext w:val="0"/>
        <w:keepLines w:val="0"/>
        <w:pageBreakBefore w:val="0"/>
        <w:kinsoku/>
        <w:wordWrap/>
        <w:overflowPunct/>
        <w:topLinePunct w:val="0"/>
        <w:autoSpaceDE/>
        <w:autoSpaceDN/>
        <w:bidi w:val="0"/>
        <w:adjustRightInd/>
        <w:spacing w:line="520" w:lineRule="exact"/>
        <w:ind w:firstLine="640"/>
        <w:jc w:val="both"/>
        <w:textAlignment w:val="auto"/>
        <w:rPr>
          <w:rFonts w:ascii="仿宋" w:hAnsi="仿宋" w:eastAsia="仿宋" w:cs="Times New Roman"/>
          <w:b w:val="0"/>
          <w:bCs w:val="0"/>
          <w:color w:val="auto"/>
          <w:sz w:val="32"/>
          <w:szCs w:val="32"/>
        </w:rPr>
      </w:pPr>
      <w:r>
        <w:rPr>
          <w:rFonts w:hint="eastAsia" w:ascii="方正仿宋_GBK" w:hAnsi="方正仿宋_GBK" w:eastAsia="方正仿宋_GBK" w:cs="方正仿宋_GBK"/>
          <w:b/>
          <w:bCs/>
          <w:color w:val="auto"/>
          <w:sz w:val="32"/>
          <w:szCs w:val="32"/>
          <w:lang w:val="en-US" w:eastAsia="zh-CN"/>
        </w:rPr>
        <w:t>1</w:t>
      </w:r>
      <w:r>
        <w:rPr>
          <w:rFonts w:hint="eastAsia" w:ascii="方正仿宋_GBK" w:hAnsi="方正仿宋_GBK" w:eastAsia="方正仿宋_GBK" w:cs="方正仿宋_GBK"/>
          <w:b/>
          <w:bCs/>
          <w:color w:val="auto"/>
          <w:sz w:val="32"/>
          <w:szCs w:val="32"/>
        </w:rPr>
        <w:t>、新消费引领行动。</w:t>
      </w:r>
      <w:r>
        <w:rPr>
          <w:rFonts w:hint="eastAsia" w:ascii="方正仿宋_GBK" w:hAnsi="方正仿宋_GBK" w:eastAsia="方正仿宋_GBK" w:cs="方正仿宋_GBK"/>
          <w:b w:val="0"/>
          <w:bCs w:val="0"/>
          <w:color w:val="auto"/>
          <w:sz w:val="32"/>
          <w:szCs w:val="32"/>
        </w:rPr>
        <w:t>一是</w:t>
      </w:r>
      <w:r>
        <w:rPr>
          <w:rFonts w:hint="eastAsia" w:ascii="仿宋" w:hAnsi="仿宋" w:eastAsia="仿宋" w:cs="仿宋"/>
          <w:b w:val="0"/>
          <w:bCs w:val="0"/>
          <w:color w:val="auto"/>
          <w:kern w:val="2"/>
          <w:sz w:val="32"/>
          <w:szCs w:val="32"/>
        </w:rPr>
        <w:t>萃取南京历史人文精华，打造3-5条具有独特体验感的文化廊道</w:t>
      </w:r>
      <w:r>
        <w:rPr>
          <w:rFonts w:hint="eastAsia" w:ascii="仿宋" w:hAnsi="仿宋" w:eastAsia="仿宋" w:cs="仿宋"/>
          <w:b w:val="0"/>
          <w:bCs w:val="0"/>
          <w:color w:val="auto"/>
          <w:kern w:val="2"/>
          <w:sz w:val="32"/>
          <w:szCs w:val="32"/>
          <w:lang w:eastAsia="zh-CN"/>
        </w:rPr>
        <w:t>，</w:t>
      </w:r>
      <w:r>
        <w:rPr>
          <w:rFonts w:hint="eastAsia" w:ascii="方正仿宋_GBK" w:hAnsi="方正仿宋_GBK" w:eastAsia="方正仿宋_GBK" w:cs="方正仿宋_GBK"/>
          <w:b w:val="0"/>
          <w:bCs w:val="0"/>
          <w:color w:val="auto"/>
          <w:sz w:val="32"/>
          <w:szCs w:val="32"/>
        </w:rPr>
        <w:t>优先发展研学修学、教子亲子、知恩报恩等主题旅游，培育壮大“桨声灯影”、“寻根金陵”、“城南街巷”、“桃叶浪漫”等热点区块，构筑一条从碎片化到连续化的文化消费之旅。二是借助历史轴线、文化脉络、道路系统等，着手新消费场景打造与业态创新，</w:t>
      </w:r>
      <w:r>
        <w:rPr>
          <w:rFonts w:hint="eastAsia" w:ascii="仿宋" w:hAnsi="仿宋" w:eastAsia="仿宋" w:cs="Times New Roman"/>
          <w:b w:val="0"/>
          <w:bCs w:val="0"/>
          <w:color w:val="auto"/>
          <w:sz w:val="32"/>
          <w:szCs w:val="32"/>
        </w:rPr>
        <w:t>沿着“挖掘故事线，设计旅游线，打造产品线，推出消费线”的核心路径，引入文旅消费新业态，从空间布局和业态分布上持续开展整合升级。</w:t>
      </w:r>
      <w:r>
        <w:rPr>
          <w:rFonts w:hint="eastAsia" w:ascii="方正仿宋_GBK" w:hAnsi="方正仿宋_GBK" w:eastAsia="方正仿宋_GBK" w:cs="方正仿宋_GBK"/>
          <w:b w:val="0"/>
          <w:bCs w:val="0"/>
          <w:color w:val="auto"/>
          <w:sz w:val="32"/>
          <w:szCs w:val="32"/>
        </w:rPr>
        <w:t>三是创新融合发展业态业种，集聚时尚娱乐产业，大力发展影视、体育、节庆、网络等新兴多元文化业态，鼓励文化、科技、康养、体育、影视等领域跨界延伸产业链条</w:t>
      </w:r>
      <w:r>
        <w:rPr>
          <w:rFonts w:hint="eastAsia" w:ascii="仿宋" w:hAnsi="仿宋" w:eastAsia="仿宋" w:cs="Times New Roman"/>
          <w:b w:val="0"/>
          <w:bCs w:val="0"/>
          <w:color w:val="auto"/>
          <w:sz w:val="32"/>
          <w:szCs w:val="32"/>
          <w:lang w:eastAsia="zh-CN"/>
        </w:rPr>
        <w:t>，</w:t>
      </w:r>
      <w:r>
        <w:rPr>
          <w:rFonts w:eastAsia="方正仿宋_GBK"/>
          <w:b w:val="0"/>
          <w:bCs w:val="0"/>
          <w:color w:val="auto"/>
          <w:kern w:val="0"/>
          <w:sz w:val="32"/>
          <w:szCs w:val="32"/>
        </w:rPr>
        <w:t>适应年轻化、网络化、碎片化消费趋势</w:t>
      </w:r>
      <w:r>
        <w:rPr>
          <w:rFonts w:hint="eastAsia" w:ascii="方正仿宋_GBK" w:hAnsi="方正仿宋_GBK" w:eastAsia="方正仿宋_GBK" w:cs="方正仿宋_GBK"/>
          <w:b w:val="0"/>
          <w:bCs w:val="0"/>
          <w:color w:val="auto"/>
          <w:sz w:val="32"/>
          <w:szCs w:val="32"/>
        </w:rPr>
        <w:t>。四是</w:t>
      </w:r>
      <w:r>
        <w:rPr>
          <w:rFonts w:hint="eastAsia" w:eastAsia="方正仿宋_GBK"/>
          <w:b w:val="0"/>
          <w:bCs w:val="0"/>
          <w:color w:val="auto"/>
          <w:kern w:val="0"/>
          <w:sz w:val="32"/>
          <w:szCs w:val="32"/>
        </w:rPr>
        <w:t>从“重形式”转向“重内容”、“重体验”，积极发展体验型商业业态</w:t>
      </w:r>
      <w:r>
        <w:rPr>
          <w:rFonts w:hint="eastAsia" w:eastAsia="方正仿宋_GBK"/>
          <w:b w:val="0"/>
          <w:bCs w:val="0"/>
          <w:color w:val="auto"/>
          <w:kern w:val="0"/>
          <w:sz w:val="32"/>
          <w:szCs w:val="32"/>
          <w:lang w:eastAsia="zh-CN"/>
        </w:rPr>
        <w:t>，</w:t>
      </w:r>
      <w:r>
        <w:rPr>
          <w:rFonts w:eastAsia="仿宋"/>
          <w:b w:val="0"/>
          <w:bCs w:val="0"/>
          <w:color w:val="auto"/>
          <w:sz w:val="32"/>
          <w:szCs w:val="32"/>
          <w:highlight w:val="none"/>
        </w:rPr>
        <w:t>融入全息影像、AR等现代科技手段，打造体验消费“爆款”。</w:t>
      </w:r>
      <w:r>
        <w:rPr>
          <w:rFonts w:hint="eastAsia" w:eastAsia="方正仿宋_GBK"/>
          <w:b w:val="0"/>
          <w:bCs w:val="0"/>
          <w:color w:val="auto"/>
          <w:kern w:val="0"/>
          <w:sz w:val="32"/>
          <w:szCs w:val="32"/>
        </w:rPr>
        <w:t>推动小吃餐饮与多种主题文化、多样消费体验结合发展。推进文化场馆的旅游化改造，创新呈现方式、体验模式和服务方式。依托科举博物馆等精品文化项目，创新发展文博产业。</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w:t>
      </w:r>
      <w:r>
        <w:rPr>
          <w:rFonts w:hint="eastAsia" w:ascii="方正仿宋_GBK" w:hAnsi="方正仿宋_GBK" w:eastAsia="方正仿宋_GBK" w:cs="方正仿宋_GBK"/>
          <w:b/>
          <w:bCs/>
          <w:color w:val="auto"/>
          <w:sz w:val="32"/>
          <w:szCs w:val="32"/>
        </w:rPr>
        <w:t>、打造夜间经济集聚区。</w:t>
      </w:r>
      <w:r>
        <w:rPr>
          <w:rFonts w:hint="eastAsia" w:ascii="方正仿宋_GBK" w:hAnsi="方正仿宋_GBK" w:eastAsia="方正仿宋_GBK" w:cs="方正仿宋_GBK"/>
          <w:b w:val="0"/>
          <w:bCs w:val="0"/>
          <w:color w:val="auto"/>
          <w:sz w:val="32"/>
        </w:rPr>
        <w:t>一</w:t>
      </w:r>
      <w:r>
        <w:rPr>
          <w:rFonts w:hint="eastAsia" w:ascii="方正仿宋_GBK" w:hAnsi="方正仿宋_GBK" w:eastAsia="方正仿宋_GBK" w:cs="方正仿宋_GBK"/>
          <w:b w:val="0"/>
          <w:bCs w:val="0"/>
          <w:color w:val="auto"/>
          <w:sz w:val="32"/>
          <w:szCs w:val="32"/>
        </w:rPr>
        <w:t>是联合打造夜间经济集聚区。依托夫子庙、老门东等地标性文化资源和景观特色，集聚资源、集中力量重点发展夫子庙—秦淮河—老门东夜间经济集聚片区。打造街头艺人展演、创意市集、沉浸式戏剧、多媒体互动体验等新兴消费场景。二是推进多元业态组合。围绕购、食、宿、游、娱、读、健等七类业态</w:t>
      </w:r>
      <w:r>
        <w:rPr>
          <w:rFonts w:hint="eastAsia" w:ascii="Times New Roman" w:hAnsi="Times New Roman" w:eastAsia="方正仿宋_GBK" w:cs="Times New Roman"/>
          <w:b w:val="0"/>
          <w:bCs w:val="0"/>
          <w:color w:val="auto"/>
          <w:sz w:val="32"/>
          <w:szCs w:val="32"/>
        </w:rPr>
        <w:t>，</w:t>
      </w:r>
      <w:r>
        <w:rPr>
          <w:rFonts w:hint="eastAsia" w:eastAsia="方正仿宋_GBK" w:asciiTheme="minorHAnsi" w:hAnsiTheme="minorHAnsi"/>
          <w:b w:val="0"/>
          <w:bCs w:val="0"/>
          <w:color w:val="auto"/>
          <w:kern w:val="0"/>
          <w:sz w:val="32"/>
          <w:szCs w:val="32"/>
        </w:rPr>
        <w:t>持续推进夜间经济产业链完善和升级，</w:t>
      </w:r>
      <w:r>
        <w:rPr>
          <w:rFonts w:hint="eastAsia" w:ascii="方正仿宋_GBK" w:hAnsi="方正仿宋_GBK" w:eastAsia="方正仿宋_GBK" w:cs="方正仿宋_GBK"/>
          <w:b w:val="0"/>
          <w:bCs w:val="0"/>
          <w:color w:val="auto"/>
          <w:sz w:val="32"/>
          <w:szCs w:val="32"/>
        </w:rPr>
        <w:t>发展特色餐饮、特色住宿、特色购物和特色演艺等，</w:t>
      </w:r>
      <w:r>
        <w:rPr>
          <w:rFonts w:hint="eastAsia" w:eastAsia="方正仿宋_GBK" w:asciiTheme="minorHAnsi" w:hAnsiTheme="minorHAnsi"/>
          <w:b w:val="0"/>
          <w:bCs w:val="0"/>
          <w:color w:val="auto"/>
          <w:kern w:val="0"/>
          <w:sz w:val="32"/>
          <w:szCs w:val="32"/>
        </w:rPr>
        <w:t>鼓励多种业态跨界融合。</w:t>
      </w:r>
      <w:r>
        <w:rPr>
          <w:rFonts w:hint="eastAsia" w:ascii="方正仿宋_GBK" w:hAnsi="方正仿宋_GBK" w:eastAsia="方正仿宋_GBK" w:cs="方正仿宋_GBK"/>
          <w:b w:val="0"/>
          <w:bCs w:val="0"/>
          <w:color w:val="auto"/>
          <w:sz w:val="32"/>
          <w:szCs w:val="32"/>
        </w:rPr>
        <w:t>将传统文化与现代潮流交织融合，多点布局，凸显夜间经济带动效应。三是塑造“夜享秦淮”主题IP。以“夜享秦淮”IP为核心，持续发掘利用老城南地区文化旅游资源，用文化IP充实和塑造夜间经济。结合端午、中秋、春节等传统节日，策划秦淮灯会，推出沉浸式演出、灯光秀、状元游、夜间小剧场演艺、非遗展演等文艺活动，演绎秦淮文化故事，提供一站式休闲消费新体验。</w:t>
      </w:r>
      <w:r>
        <w:rPr>
          <w:rFonts w:hint="eastAsia" w:ascii="方正仿宋_GBK" w:hAnsi="方正仿宋_GBK" w:eastAsia="方正仿宋_GBK" w:cs="方正仿宋_GBK"/>
          <w:color w:val="auto"/>
          <w:sz w:val="32"/>
          <w:szCs w:val="32"/>
        </w:rPr>
        <w:t> </w:t>
      </w:r>
    </w:p>
    <w:p>
      <w:pPr>
        <w:keepNext w:val="0"/>
        <w:keepLines w:val="0"/>
        <w:pageBreakBefore w:val="0"/>
        <w:kinsoku/>
        <w:wordWrap/>
        <w:overflowPunct/>
        <w:topLinePunct w:val="0"/>
        <w:autoSpaceDE/>
        <w:autoSpaceDN/>
        <w:bidi w:val="0"/>
        <w:adjustRightInd/>
        <w:spacing w:line="520" w:lineRule="exact"/>
        <w:ind w:firstLine="640"/>
        <w:jc w:val="both"/>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bCs/>
          <w:color w:val="auto"/>
          <w:sz w:val="32"/>
          <w:szCs w:val="32"/>
          <w:lang w:val="en-US" w:eastAsia="zh-CN"/>
        </w:rPr>
        <w:t>3</w:t>
      </w:r>
      <w:r>
        <w:rPr>
          <w:rFonts w:hint="eastAsia" w:ascii="方正仿宋_GBK" w:hAnsi="方正仿宋_GBK" w:eastAsia="方正仿宋_GBK" w:cs="方正仿宋_GBK"/>
          <w:b/>
          <w:bCs/>
          <w:color w:val="auto"/>
          <w:sz w:val="32"/>
          <w:szCs w:val="32"/>
        </w:rPr>
        <w:t>、创新营销推广方式。</w:t>
      </w:r>
      <w:r>
        <w:rPr>
          <w:rFonts w:hint="eastAsia" w:ascii="方正仿宋_GBK" w:hAnsi="方正仿宋_GBK" w:eastAsia="方正仿宋_GBK" w:cs="方正仿宋_GBK"/>
          <w:b w:val="0"/>
          <w:bCs w:val="0"/>
          <w:color w:val="auto"/>
          <w:sz w:val="32"/>
          <w:szCs w:val="32"/>
        </w:rPr>
        <w:t>充分发挥老城南地区资源优势，坚持以文化为根脉、以旅游为带动、以商业为内核，讲好秦淮故事。</w:t>
      </w:r>
      <w:r>
        <w:rPr>
          <w:rFonts w:hint="eastAsia" w:ascii="方正仿宋_GBK" w:hAnsi="方正仿宋_GBK" w:eastAsia="方正仿宋_GBK" w:cs="方正仿宋_GBK"/>
          <w:b w:val="0"/>
          <w:bCs w:val="0"/>
          <w:color w:val="auto"/>
          <w:sz w:val="32"/>
          <w:szCs w:val="32"/>
          <w:lang w:eastAsia="zh-CN"/>
        </w:rPr>
        <w:t>一是</w:t>
      </w:r>
      <w:r>
        <w:rPr>
          <w:rFonts w:hint="eastAsia" w:ascii="方正仿宋_GBK" w:hAnsi="方正仿宋_GBK" w:eastAsia="方正仿宋_GBK" w:cs="方正仿宋_GBK"/>
          <w:b w:val="0"/>
          <w:bCs w:val="0"/>
          <w:color w:val="auto"/>
          <w:sz w:val="32"/>
          <w:szCs w:val="32"/>
        </w:rPr>
        <w:t>以“城市记忆”为轴，依托“一城一河”核心资源和“1＋4”故事线，推出3-5条最有老城南文旅商特色的主题游线，吸引游客停留，把“故事线”转化成“旅游线”、“消费线”。</w:t>
      </w:r>
      <w:r>
        <w:rPr>
          <w:rFonts w:hint="eastAsia" w:ascii="方正楷体_GBK" w:hAnsi="方正楷体_GBK" w:eastAsia="方正楷体_GBK" w:cs="方正楷体_GBK"/>
          <w:b w:val="0"/>
          <w:bCs w:val="0"/>
          <w:color w:val="auto"/>
          <w:sz w:val="32"/>
          <w:szCs w:val="32"/>
        </w:rPr>
        <w:t>二是</w:t>
      </w:r>
      <w:r>
        <w:rPr>
          <w:rFonts w:hint="eastAsia" w:ascii="仿宋" w:hAnsi="仿宋" w:eastAsia="仿宋" w:cs="仿宋"/>
          <w:b w:val="0"/>
          <w:bCs w:val="0"/>
          <w:color w:val="auto"/>
          <w:kern w:val="2"/>
          <w:sz w:val="32"/>
          <w:szCs w:val="32"/>
        </w:rPr>
        <w:t>培育网红经济。围绕夜间文旅消费，重点布局以数字内容为核心的演艺、餐饮、娱乐、体育、健身、AR等年轻人喜欢、游客青睐的 “创意经济”“共享经济”“粉丝经济”等网红业态、体验项目、创意产品、时尚活动，有效带动“二消”“三消”“多消”，有效刺激带动消费购买力。</w:t>
      </w:r>
      <w:r>
        <w:rPr>
          <w:rFonts w:hint="eastAsia" w:ascii="方正仿宋_GBK" w:hAnsi="方正仿宋_GBK" w:eastAsia="方正仿宋_GBK" w:cs="方正仿宋_GBK"/>
          <w:b w:val="0"/>
          <w:bCs w:val="0"/>
          <w:color w:val="auto"/>
          <w:sz w:val="32"/>
          <w:szCs w:val="32"/>
          <w:lang w:eastAsia="zh-CN"/>
        </w:rPr>
        <w:t>三是</w:t>
      </w:r>
      <w:r>
        <w:rPr>
          <w:rFonts w:hint="eastAsia" w:ascii="方正仿宋_GBK" w:hAnsi="方正仿宋_GBK" w:eastAsia="方正仿宋_GBK" w:cs="方正仿宋_GBK"/>
          <w:b w:val="0"/>
          <w:bCs w:val="0"/>
          <w:color w:val="auto"/>
          <w:sz w:val="32"/>
          <w:szCs w:val="32"/>
        </w:rPr>
        <w:t>促进网络直播、短视频与旅游景区、产业园区和商业综合体结合，发展旅游直播、直播带货等线上内容生成方式，推动星拓互娱等线上内容生产商发展。</w:t>
      </w:r>
      <w:r>
        <w:rPr>
          <w:rFonts w:hint="eastAsia" w:ascii="方正仿宋_GBK" w:hAnsi="方正仿宋_GBK" w:eastAsia="方正仿宋_GBK" w:cs="方正仿宋_GBK"/>
          <w:b w:val="0"/>
          <w:bCs w:val="0"/>
          <w:color w:val="auto"/>
          <w:sz w:val="32"/>
          <w:szCs w:val="32"/>
          <w:lang w:eastAsia="zh-CN"/>
        </w:rPr>
        <w:t>四是</w:t>
      </w:r>
      <w:r>
        <w:rPr>
          <w:rFonts w:hint="eastAsia" w:ascii="方正仿宋_GBK" w:hAnsi="方正仿宋_GBK" w:eastAsia="方正仿宋_GBK" w:cs="方正仿宋_GBK"/>
          <w:b w:val="0"/>
          <w:bCs w:val="0"/>
          <w:color w:val="auto"/>
          <w:sz w:val="32"/>
          <w:szCs w:val="32"/>
        </w:rPr>
        <w:t>组建文旅行业协会，发挥协会市场引导作用，联合美团、大众点评</w:t>
      </w:r>
      <w:r>
        <w:rPr>
          <w:rFonts w:hint="eastAsia" w:ascii="方正仿宋_GBK" w:hAnsi="方正仿宋_GBK" w:eastAsia="方正仿宋_GBK" w:cs="方正仿宋_GBK"/>
          <w:b w:val="0"/>
          <w:bCs w:val="0"/>
          <w:color w:val="auto"/>
          <w:sz w:val="32"/>
          <w:szCs w:val="32"/>
          <w:lang w:eastAsia="zh-CN"/>
        </w:rPr>
        <w:t>、抖音、小红书</w:t>
      </w:r>
      <w:r>
        <w:rPr>
          <w:rFonts w:hint="eastAsia" w:ascii="方正仿宋_GBK" w:hAnsi="方正仿宋_GBK" w:eastAsia="方正仿宋_GBK" w:cs="方正仿宋_GBK"/>
          <w:b w:val="0"/>
          <w:bCs w:val="0"/>
          <w:color w:val="auto"/>
          <w:sz w:val="32"/>
          <w:szCs w:val="32"/>
        </w:rPr>
        <w:t>等平台多渠道</w:t>
      </w:r>
      <w:r>
        <w:rPr>
          <w:rFonts w:hint="eastAsia" w:ascii="方正仿宋_GBK" w:hAnsi="方正仿宋_GBK" w:eastAsia="方正仿宋_GBK" w:cs="方正仿宋_GBK"/>
          <w:b w:val="0"/>
          <w:bCs w:val="0"/>
          <w:color w:val="auto"/>
          <w:sz w:val="32"/>
          <w:szCs w:val="32"/>
          <w:lang w:eastAsia="zh-CN"/>
        </w:rPr>
        <w:t>宣传</w:t>
      </w:r>
      <w:r>
        <w:rPr>
          <w:rFonts w:hint="eastAsia" w:ascii="方正仿宋_GBK" w:hAnsi="方正仿宋_GBK" w:eastAsia="方正仿宋_GBK" w:cs="方正仿宋_GBK"/>
          <w:b w:val="0"/>
          <w:bCs w:val="0"/>
          <w:color w:val="auto"/>
          <w:sz w:val="32"/>
          <w:szCs w:val="32"/>
        </w:rPr>
        <w:t>推广，</w:t>
      </w:r>
      <w:r>
        <w:rPr>
          <w:rFonts w:hint="eastAsia" w:ascii="方正仿宋_GBK" w:hAnsi="方正仿宋_GBK" w:eastAsia="方正仿宋_GBK" w:cs="方正仿宋_GBK"/>
          <w:b w:val="0"/>
          <w:bCs w:val="0"/>
          <w:color w:val="auto"/>
          <w:sz w:val="32"/>
          <w:szCs w:val="32"/>
          <w:lang w:eastAsia="zh-CN"/>
        </w:rPr>
        <w:t>形成</w:t>
      </w:r>
      <w:r>
        <w:rPr>
          <w:rFonts w:hint="eastAsia" w:ascii="方正仿宋_GBK" w:hAnsi="方正仿宋_GBK" w:eastAsia="方正仿宋_GBK" w:cs="方正仿宋_GBK"/>
          <w:b w:val="0"/>
          <w:bCs w:val="0"/>
          <w:color w:val="auto"/>
          <w:sz w:val="32"/>
          <w:szCs w:val="32"/>
        </w:rPr>
        <w:t>美食餐饮、打卡名片、网红街巷、特色住宿</w:t>
      </w:r>
      <w:r>
        <w:rPr>
          <w:rFonts w:hint="eastAsia" w:ascii="方正仿宋_GBK" w:hAnsi="方正仿宋_GBK" w:eastAsia="方正仿宋_GBK" w:cs="方正仿宋_GBK"/>
          <w:b w:val="0"/>
          <w:bCs w:val="0"/>
          <w:color w:val="auto"/>
          <w:sz w:val="32"/>
          <w:szCs w:val="32"/>
          <w:lang w:eastAsia="zh-CN"/>
        </w:rPr>
        <w:t>地区榜单，供消费者参考。</w:t>
      </w:r>
    </w:p>
    <w:p>
      <w:pPr>
        <w:pStyle w:val="2"/>
        <w:keepNext w:val="0"/>
        <w:keepLines w:val="0"/>
        <w:pageBreakBefore w:val="0"/>
        <w:kinsoku/>
        <w:wordWrap/>
        <w:overflowPunct/>
        <w:topLinePunct w:val="0"/>
        <w:autoSpaceDE/>
        <w:autoSpaceDN/>
        <w:bidi w:val="0"/>
        <w:adjustRightInd/>
        <w:spacing w:line="520" w:lineRule="exact"/>
        <w:textAlignment w:val="auto"/>
        <w:rPr>
          <w:rFonts w:hint="eastAsia"/>
          <w:color w:val="auto"/>
          <w:lang w:eastAsia="zh-CN"/>
        </w:rPr>
      </w:pP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highlight w:val="none"/>
        </w:rPr>
        <w:t xml:space="preserve">  </w:t>
      </w:r>
      <w:r>
        <w:rPr>
          <w:rFonts w:hint="eastAsia" w:ascii="方正黑体_GBK" w:hAnsi="方正黑体_GBK" w:eastAsia="方正黑体_GBK" w:cs="方正黑体_GBK"/>
          <w:color w:val="auto"/>
          <w:sz w:val="32"/>
          <w:szCs w:val="32"/>
          <w:lang w:eastAsia="zh-CN"/>
        </w:rPr>
        <w:t>六、实施保障路径</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w:t>
      </w:r>
      <w:r>
        <w:rPr>
          <w:rFonts w:hint="eastAsia" w:ascii="方正仿宋_GBK" w:hAnsi="方正仿宋_GBK" w:eastAsia="方正仿宋_GBK" w:cs="方正仿宋_GBK"/>
          <w:b/>
          <w:color w:val="auto"/>
          <w:sz w:val="32"/>
          <w:szCs w:val="32"/>
          <w:lang w:eastAsia="zh-CN"/>
        </w:rPr>
        <w:t>一</w:t>
      </w:r>
      <w:r>
        <w:rPr>
          <w:rFonts w:hint="eastAsia" w:ascii="方正仿宋_GBK" w:hAnsi="方正仿宋_GBK" w:eastAsia="方正仿宋_GBK" w:cs="方正仿宋_GBK"/>
          <w:b/>
          <w:color w:val="auto"/>
          <w:sz w:val="32"/>
          <w:szCs w:val="32"/>
        </w:rPr>
        <w:t>）改革产业工作体制机制</w:t>
      </w:r>
      <w:r>
        <w:rPr>
          <w:rFonts w:hint="eastAsia" w:ascii="方正仿宋_GBK" w:hAnsi="方正仿宋_GBK" w:eastAsia="方正仿宋_GBK" w:cs="方正仿宋_GBK"/>
          <w:b/>
          <w:color w:val="auto"/>
          <w:sz w:val="32"/>
          <w:szCs w:val="32"/>
          <w:lang w:eastAsia="zh-CN"/>
        </w:rPr>
        <w:t>，</w:t>
      </w:r>
      <w:r>
        <w:rPr>
          <w:rFonts w:hint="eastAsia" w:ascii="方正仿宋_GBK" w:hAnsi="方正仿宋_GBK" w:eastAsia="方正仿宋_GBK" w:cs="方正仿宋_GBK"/>
          <w:b/>
          <w:color w:val="auto"/>
          <w:sz w:val="32"/>
          <w:szCs w:val="32"/>
        </w:rPr>
        <w:t>构建文商旅融合发展体系。</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产业上分招商、经统、项目三个条口，分别设立专业机构，统筹协同推进。新设立招商中心，综合统筹各产业园区、招商联盟、小吃协会(餐饮企业)等招商工作。新成立产业经济综合统计专班，围绕各项</w:t>
      </w:r>
      <w:r>
        <w:rPr>
          <w:rFonts w:hint="eastAsia" w:ascii="方正仿宋_GBK" w:hAnsi="方正仿宋_GBK" w:eastAsia="方正仿宋_GBK" w:cs="方正仿宋_GBK"/>
          <w:color w:val="auto"/>
          <w:sz w:val="32"/>
          <w:szCs w:val="32"/>
          <w:lang w:eastAsia="zh-CN"/>
        </w:rPr>
        <w:t>统计</w:t>
      </w:r>
      <w:r>
        <w:rPr>
          <w:rFonts w:hint="eastAsia" w:ascii="方正仿宋_GBK" w:hAnsi="方正仿宋_GBK" w:eastAsia="方正仿宋_GBK" w:cs="方正仿宋_GBK"/>
          <w:color w:val="auto"/>
          <w:sz w:val="32"/>
          <w:szCs w:val="32"/>
        </w:rPr>
        <w:t>指标数据、财税、夜间经济等逐项分析，逐企走访，全面提升经济数据；借鉴区重点项目办模式，新成立老城南板块项目推进办公室，全面梳理板块内项目，逐项分析，协调解决推进中存在的困难和问题</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深度挖掘秦淮文化基因，激活文商旅融合发展潜力，加速“文化+</w:t>
      </w:r>
      <w:r>
        <w:rPr>
          <w:rFonts w:hint="eastAsia" w:ascii="方正仿宋_GBK" w:hAnsi="方正仿宋_GBK" w:eastAsia="方正仿宋_GBK" w:cs="方正仿宋_GBK"/>
          <w:color w:val="auto"/>
          <w:sz w:val="32"/>
          <w:szCs w:val="32"/>
          <w:lang w:eastAsia="zh-CN"/>
        </w:rPr>
        <w:t>科技</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、“旅游</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智慧</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产</w:t>
      </w:r>
      <w:r>
        <w:rPr>
          <w:rFonts w:hint="eastAsia" w:ascii="方正仿宋_GBK" w:hAnsi="方正仿宋_GBK" w:eastAsia="方正仿宋_GBK" w:cs="方正仿宋_GBK"/>
          <w:color w:val="auto"/>
          <w:sz w:val="32"/>
          <w:szCs w:val="32"/>
        </w:rPr>
        <w:t>业集聚，</w:t>
      </w:r>
      <w:r>
        <w:rPr>
          <w:rFonts w:hint="eastAsia" w:ascii="方正仿宋_GBK" w:hAnsi="方正仿宋_GBK" w:eastAsia="方正仿宋_GBK" w:cs="方正仿宋_GBK"/>
          <w:color w:val="auto"/>
          <w:sz w:val="32"/>
          <w:szCs w:val="32"/>
          <w:lang w:eastAsia="zh-CN"/>
        </w:rPr>
        <w:t>加快推进</w:t>
      </w:r>
      <w:r>
        <w:rPr>
          <w:rFonts w:hint="eastAsia" w:ascii="方正仿宋_GBK" w:hAnsi="方正仿宋_GBK" w:eastAsia="方正仿宋_GBK" w:cs="方正仿宋_GBK"/>
          <w:color w:val="auto"/>
          <w:sz w:val="32"/>
          <w:szCs w:val="32"/>
        </w:rPr>
        <w:t>“一核五片区”布局，深入推</w:t>
      </w:r>
      <w:r>
        <w:rPr>
          <w:rFonts w:hint="eastAsia" w:ascii="方正仿宋_GBK" w:hAnsi="方正仿宋_GBK" w:eastAsia="方正仿宋_GBK" w:cs="方正仿宋_GBK"/>
          <w:color w:val="auto"/>
          <w:sz w:val="32"/>
          <w:szCs w:val="32"/>
          <w:lang w:eastAsia="zh-CN"/>
        </w:rPr>
        <w:t>动</w:t>
      </w:r>
      <w:r>
        <w:rPr>
          <w:rFonts w:hint="eastAsia" w:ascii="方正仿宋_GBK" w:hAnsi="方正仿宋_GBK" w:eastAsia="方正仿宋_GBK" w:cs="方正仿宋_GBK"/>
          <w:color w:val="auto"/>
          <w:sz w:val="32"/>
          <w:szCs w:val="32"/>
        </w:rPr>
        <w:t>文旅商创融合发展，打造彰显古城深厚文化底蕴、南京历史文化名城特质的国际性文化休闲旅游示范地、“全球游”、“全球购”目的地。</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华文仿宋" w:eastAsia="方正仿宋_GBK"/>
          <w:b/>
          <w:color w:val="auto"/>
          <w:sz w:val="32"/>
          <w:szCs w:val="32"/>
        </w:rPr>
      </w:pPr>
      <w:r>
        <w:rPr>
          <w:rFonts w:hint="eastAsia" w:ascii="方正仿宋_GBK" w:hAnsi="华文仿宋" w:eastAsia="方正仿宋_GBK"/>
          <w:b/>
          <w:color w:val="auto"/>
          <w:sz w:val="32"/>
          <w:szCs w:val="32"/>
        </w:rPr>
        <w:t>（</w:t>
      </w:r>
      <w:r>
        <w:rPr>
          <w:rFonts w:hint="eastAsia" w:ascii="方正仿宋_GBK" w:hAnsi="华文仿宋" w:eastAsia="方正仿宋_GBK"/>
          <w:b/>
          <w:color w:val="auto"/>
          <w:sz w:val="32"/>
          <w:szCs w:val="32"/>
          <w:lang w:eastAsia="zh-CN"/>
        </w:rPr>
        <w:t>二</w:t>
      </w:r>
      <w:r>
        <w:rPr>
          <w:rFonts w:hint="eastAsia" w:ascii="方正仿宋_GBK" w:hAnsi="华文仿宋" w:eastAsia="方正仿宋_GBK"/>
          <w:b/>
          <w:color w:val="auto"/>
          <w:sz w:val="32"/>
          <w:szCs w:val="32"/>
        </w:rPr>
        <w:t>）</w:t>
      </w:r>
      <w:r>
        <w:rPr>
          <w:rFonts w:hint="eastAsia" w:ascii="方正仿宋_GBK" w:hAnsi="方正仿宋_GBK" w:eastAsia="方正仿宋_GBK" w:cs="方正仿宋_GBK"/>
          <w:b/>
          <w:color w:val="auto"/>
          <w:sz w:val="32"/>
          <w:szCs w:val="32"/>
        </w:rPr>
        <w:t>景区管理</w:t>
      </w:r>
      <w:r>
        <w:rPr>
          <w:rFonts w:hint="eastAsia" w:ascii="方正仿宋_GBK" w:hAnsi="方正仿宋_GBK" w:eastAsia="方正仿宋_GBK" w:cs="方正仿宋_GBK"/>
          <w:b/>
          <w:color w:val="auto"/>
          <w:sz w:val="32"/>
          <w:szCs w:val="32"/>
          <w:lang w:eastAsia="zh-CN"/>
        </w:rPr>
        <w:t>改革提升，推进</w:t>
      </w:r>
      <w:r>
        <w:rPr>
          <w:rFonts w:ascii="方正仿宋_GBK" w:hAnsi="华文仿宋" w:eastAsia="方正仿宋_GBK"/>
          <w:b/>
          <w:color w:val="auto"/>
          <w:sz w:val="32"/>
          <w:szCs w:val="32"/>
        </w:rPr>
        <w:t>内外统管标准化。</w:t>
      </w:r>
    </w:p>
    <w:p>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val="0"/>
          <w:bCs w:val="0"/>
          <w:color w:val="auto"/>
          <w:kern w:val="0"/>
          <w:sz w:val="32"/>
          <w:szCs w:val="32"/>
        </w:rPr>
        <w:t>景区管理上</w:t>
      </w:r>
      <w:r>
        <w:rPr>
          <w:rFonts w:hint="eastAsia" w:ascii="Times New Roman" w:hAnsi="Times New Roman" w:eastAsia="方正仿宋_GBK" w:cs="Times New Roman"/>
          <w:b w:val="0"/>
          <w:bCs w:val="0"/>
          <w:color w:val="auto"/>
          <w:sz w:val="32"/>
          <w:szCs w:val="32"/>
        </w:rPr>
        <w:t>深入推进景区综合执法改革。</w:t>
      </w:r>
      <w:r>
        <w:rPr>
          <w:rFonts w:hint="eastAsia" w:ascii="方正仿宋_GBK" w:hAnsi="华文仿宋" w:eastAsia="方正仿宋_GBK"/>
          <w:b w:val="0"/>
          <w:bCs w:val="0"/>
          <w:color w:val="auto"/>
          <w:sz w:val="32"/>
          <w:szCs w:val="32"/>
        </w:rPr>
        <w:t>成立景区综合行政执法局，下设城市管理、市场监管、应急管理、交通管理四个执法中队；组建夫子庙核心景区管理中心、景区设施管养中心、夫子庙景区指挥调度中心。“一局三中心”架构搭建完毕并开始正常运作。发</w:t>
      </w:r>
      <w:r>
        <w:rPr>
          <w:rFonts w:hint="eastAsia" w:ascii="方正仿宋_GBK" w:hAnsi="华文仿宋" w:eastAsia="方正仿宋_GBK" w:cs="Times New Roman"/>
          <w:b w:val="0"/>
          <w:bCs w:val="0"/>
          <w:color w:val="auto"/>
          <w:sz w:val="32"/>
          <w:szCs w:val="32"/>
        </w:rPr>
        <w:t>挥“夫子庙综合管理平台”的作</w:t>
      </w:r>
      <w:r>
        <w:rPr>
          <w:rFonts w:hint="eastAsia" w:ascii="方正仿宋_GBK" w:hAnsi="华文仿宋" w:eastAsia="方正仿宋_GBK"/>
          <w:b w:val="0"/>
          <w:bCs w:val="0"/>
          <w:color w:val="auto"/>
          <w:sz w:val="32"/>
          <w:szCs w:val="32"/>
        </w:rPr>
        <w:t>用，由</w:t>
      </w:r>
      <w:r>
        <w:rPr>
          <w:rFonts w:hint="eastAsia" w:ascii="方正仿宋_GBK" w:hAnsi="华文仿宋" w:eastAsia="方正仿宋_GBK" w:cs="Times New Roman"/>
          <w:b w:val="0"/>
          <w:bCs w:val="0"/>
          <w:color w:val="auto"/>
          <w:sz w:val="32"/>
          <w:szCs w:val="32"/>
        </w:rPr>
        <w:t>指挥调度中心对景区内日常的网格管理、综合执法、诚信建设、市政园林设施及城市家居管养等</w:t>
      </w:r>
      <w:r>
        <w:rPr>
          <w:rFonts w:hint="eastAsia" w:ascii="方正仿宋_GBK" w:hAnsi="华文仿宋" w:eastAsia="方正仿宋_GBK"/>
          <w:b w:val="0"/>
          <w:bCs w:val="0"/>
          <w:color w:val="auto"/>
          <w:sz w:val="32"/>
          <w:szCs w:val="32"/>
        </w:rPr>
        <w:t>事项实施全方位</w:t>
      </w:r>
      <w:r>
        <w:rPr>
          <w:rFonts w:hint="eastAsia" w:ascii="方正仿宋_GBK" w:hAnsi="华文仿宋" w:eastAsia="方正仿宋_GBK" w:cs="Times New Roman"/>
          <w:b w:val="0"/>
          <w:bCs w:val="0"/>
          <w:color w:val="auto"/>
          <w:sz w:val="32"/>
          <w:szCs w:val="32"/>
        </w:rPr>
        <w:t>指挥</w:t>
      </w:r>
      <w:r>
        <w:rPr>
          <w:rFonts w:hint="eastAsia" w:ascii="方正仿宋_GBK" w:hAnsi="华文仿宋" w:eastAsia="方正仿宋_GBK"/>
          <w:b w:val="0"/>
          <w:bCs w:val="0"/>
          <w:color w:val="auto"/>
          <w:sz w:val="32"/>
          <w:szCs w:val="32"/>
        </w:rPr>
        <w:t>调度，</w:t>
      </w:r>
      <w:r>
        <w:rPr>
          <w:rFonts w:hint="eastAsia" w:ascii="Times New Roman" w:hAnsi="Times New Roman" w:eastAsia="方正仿宋_GBK" w:cs="Times New Roman"/>
          <w:b w:val="0"/>
          <w:bCs w:val="0"/>
          <w:color w:val="auto"/>
          <w:sz w:val="32"/>
          <w:szCs w:val="32"/>
        </w:rPr>
        <w:t>健全调度响应机制。</w:t>
      </w:r>
      <w:r>
        <w:rPr>
          <w:rFonts w:hint="eastAsia" w:ascii="方正仿宋_GBK" w:hAnsi="华文仿宋" w:eastAsia="方正仿宋_GBK"/>
          <w:color w:val="auto"/>
          <w:sz w:val="32"/>
          <w:szCs w:val="32"/>
        </w:rPr>
        <w:t>充分学习掌握《夫子庙景区标准化管理手册》内容，从景区综合管理、建设项目及容貌管理、环境秩序管理、旅游设施管养、市场管理五个方面，全面对核心景区、门东、景区街区与周边地区、景区街区与三个综合体，以及大四福巷片区进行规范化、标准化管理。全面提升管理标杆，按照“力量整合、人员下沉、职责明晰、管理高效、闭环处理”原则，探索实施景区物业化管理新模式，推动景区精准管理常态长效，在更高层次战略发展上更好谋划和实现辖区管理创新升级，突出景区特色品牌、品质环境和大窗口形象，带动整个老城南片区面上治理水平的提高，全面提升旅游消费功能品质。</w:t>
      </w:r>
    </w:p>
    <w:p>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方正仿宋_GBK" w:hAnsi="Times New Roman" w:eastAsia="方正仿宋_GBK" w:cs="Times New Roman"/>
          <w:b/>
          <w:color w:val="auto"/>
          <w:sz w:val="32"/>
          <w:szCs w:val="32"/>
        </w:rPr>
      </w:pPr>
      <w:r>
        <w:rPr>
          <w:rFonts w:hint="eastAsia" w:ascii="方正仿宋_GBK" w:hAnsi="Times New Roman" w:eastAsia="方正仿宋_GBK" w:cs="Times New Roman"/>
          <w:b/>
          <w:color w:val="auto"/>
          <w:sz w:val="32"/>
          <w:szCs w:val="32"/>
        </w:rPr>
        <w:t>（</w:t>
      </w:r>
      <w:r>
        <w:rPr>
          <w:rFonts w:hint="eastAsia" w:ascii="方正仿宋_GBK" w:hAnsi="Times New Roman" w:eastAsia="方正仿宋_GBK" w:cs="Times New Roman"/>
          <w:b/>
          <w:color w:val="auto"/>
          <w:sz w:val="32"/>
          <w:szCs w:val="32"/>
          <w:lang w:eastAsia="zh-CN"/>
        </w:rPr>
        <w:t>三</w:t>
      </w:r>
      <w:r>
        <w:rPr>
          <w:rFonts w:hint="eastAsia" w:ascii="方正仿宋_GBK" w:hAnsi="Times New Roman" w:eastAsia="方正仿宋_GBK" w:cs="Times New Roman"/>
          <w:b/>
          <w:color w:val="auto"/>
          <w:sz w:val="32"/>
          <w:szCs w:val="32"/>
        </w:rPr>
        <w:t>）加强要素保障，优化项目推进环境。</w:t>
      </w:r>
    </w:p>
    <w:p>
      <w:pPr>
        <w:pStyle w:val="6"/>
        <w:keepNext w:val="0"/>
        <w:keepLines w:val="0"/>
        <w:pageBreakBefore w:val="0"/>
        <w:kinsoku/>
        <w:wordWrap/>
        <w:overflowPunct/>
        <w:topLinePunct w:val="0"/>
        <w:autoSpaceDE/>
        <w:autoSpaceDN/>
        <w:bidi w:val="0"/>
        <w:adjustRightInd/>
        <w:spacing w:beforeAutospacing="0" w:afterAutospacing="0" w:line="520" w:lineRule="exact"/>
        <w:ind w:firstLine="640" w:firstLineChars="200"/>
        <w:jc w:val="both"/>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eastAsia="zh-CN"/>
        </w:rPr>
        <w:t>从统筹推进、</w:t>
      </w:r>
      <w:r>
        <w:rPr>
          <w:rFonts w:hint="eastAsia" w:ascii="方正仿宋_GBK" w:hAnsi="方正仿宋_GBK" w:eastAsia="方正仿宋_GBK" w:cs="方正仿宋_GBK"/>
          <w:b w:val="0"/>
          <w:bCs w:val="0"/>
          <w:color w:val="auto"/>
          <w:sz w:val="32"/>
          <w:szCs w:val="32"/>
        </w:rPr>
        <w:t>招商选资</w:t>
      </w:r>
      <w:r>
        <w:rPr>
          <w:rFonts w:hint="eastAsia" w:ascii="方正仿宋_GBK" w:hAnsi="方正仿宋_GBK" w:eastAsia="方正仿宋_GBK" w:cs="方正仿宋_GBK"/>
          <w:b w:val="0"/>
          <w:bCs w:val="0"/>
          <w:color w:val="auto"/>
          <w:sz w:val="32"/>
          <w:szCs w:val="32"/>
          <w:lang w:eastAsia="zh-CN"/>
        </w:rPr>
        <w:t>及跟踪管理上持续发力。一是</w:t>
      </w:r>
      <w:r>
        <w:rPr>
          <w:rFonts w:hint="eastAsia" w:ascii="方正仿宋_GBK" w:hAnsi="方正仿宋_GBK" w:eastAsia="方正仿宋_GBK" w:cs="方正仿宋_GBK"/>
          <w:b w:val="0"/>
          <w:bCs w:val="0"/>
          <w:color w:val="auto"/>
          <w:sz w:val="32"/>
          <w:szCs w:val="32"/>
        </w:rPr>
        <w:t>完善项目推进机制。加强对板块重大项目建设的组织领导，成立老城南项目推进办，办公室设在管委会，继续落实现场推进会、专题协调会、月度点评会等工作机制，加强项目协调沟通和信息反馈，及时协调解决重大项目建设中的难点问题，切实督促各单位履职尽责。</w:t>
      </w:r>
      <w:r>
        <w:rPr>
          <w:rFonts w:hint="eastAsia" w:ascii="方正仿宋_GBK" w:hAnsi="方正仿宋_GBK" w:eastAsia="方正仿宋_GBK" w:cs="方正仿宋_GBK"/>
          <w:b w:val="0"/>
          <w:bCs w:val="0"/>
          <w:color w:val="auto"/>
          <w:sz w:val="32"/>
          <w:szCs w:val="32"/>
          <w:lang w:eastAsia="zh-CN"/>
        </w:rPr>
        <w:t>二是</w:t>
      </w:r>
      <w:r>
        <w:rPr>
          <w:rFonts w:hint="eastAsia" w:ascii="方正仿宋_GBK" w:hAnsi="方正仿宋_GBK" w:eastAsia="方正仿宋_GBK" w:cs="方正仿宋_GBK"/>
          <w:b w:val="0"/>
          <w:bCs w:val="0"/>
          <w:color w:val="auto"/>
          <w:sz w:val="32"/>
          <w:szCs w:val="32"/>
        </w:rPr>
        <w:t>加强项目管理跟踪。分解五年重大项目建设任务，形成年度重大项目推进计划并予滚动更新；各责任单位签订项目目标责任书，制定详细的项目推进工作方案、明确“路线图”和“时间表”，倒排关键节点和完成时限。对未按计划开工项目、进度滞后项目进行重点跟踪，确保所有项目有序推进，高效完成。</w:t>
      </w:r>
      <w:r>
        <w:rPr>
          <w:rFonts w:hint="eastAsia" w:ascii="方正仿宋_GBK" w:hAnsi="方正仿宋_GBK" w:eastAsia="方正仿宋_GBK" w:cs="方正仿宋_GBK"/>
          <w:b w:val="0"/>
          <w:bCs w:val="0"/>
          <w:color w:val="auto"/>
          <w:sz w:val="32"/>
          <w:szCs w:val="32"/>
          <w:lang w:eastAsia="zh-CN"/>
        </w:rPr>
        <w:t>三是着力解决项目推进重点难点问题。对项目建设、园区发展过程中关注的土地变性、消防报审、渣土外运、施工计划等，强化统筹、主动协调、重点推进，有效保障项目建设进度。四是</w:t>
      </w:r>
      <w:r>
        <w:rPr>
          <w:rFonts w:hint="eastAsia" w:ascii="方正仿宋_GBK" w:hAnsi="方正仿宋_GBK" w:eastAsia="方正仿宋_GBK" w:cs="方正仿宋_GBK"/>
          <w:b w:val="0"/>
          <w:bCs w:val="0"/>
          <w:color w:val="auto"/>
          <w:sz w:val="32"/>
          <w:szCs w:val="32"/>
        </w:rPr>
        <w:t>提高招商选资标准。以世界500强、央企、民营企业200强、行业领军企业、境内外上市公司为主要招引对象，了解企业战略布局意向，积极争取项目布点；提前介入重点地块、重点载体的前期研究工作，共同研究项目功能定位、策划包装，针对项目特点梳理拟招引重点企业名单，研究制定招商路线图和个性化招商方案，同步实施精准招商，同时根据建设单位需求，提供全程代理服务。</w:t>
      </w:r>
    </w:p>
    <w:p>
      <w:pPr>
        <w:pStyle w:val="6"/>
        <w:keepNext w:val="0"/>
        <w:keepLines w:val="0"/>
        <w:pageBreakBefore w:val="0"/>
        <w:numPr>
          <w:ilvl w:val="0"/>
          <w:numId w:val="2"/>
        </w:numPr>
        <w:kinsoku/>
        <w:wordWrap/>
        <w:overflowPunct/>
        <w:topLinePunct w:val="0"/>
        <w:autoSpaceDE/>
        <w:autoSpaceDN/>
        <w:bidi w:val="0"/>
        <w:adjustRightInd/>
        <w:spacing w:beforeAutospacing="0" w:afterAutospacing="0" w:line="520" w:lineRule="exact"/>
        <w:ind w:firstLine="643" w:firstLineChars="200"/>
        <w:jc w:val="both"/>
        <w:textAlignment w:val="auto"/>
        <w:rPr>
          <w:rFonts w:hint="eastAsia" w:ascii="方正仿宋_GBK" w:hAnsi="Times New Roman" w:eastAsia="方正仿宋_GBK" w:cs="Times New Roman"/>
          <w:b/>
          <w:color w:val="auto"/>
          <w:sz w:val="32"/>
          <w:szCs w:val="32"/>
          <w:lang w:eastAsia="zh-CN"/>
        </w:rPr>
      </w:pPr>
      <w:r>
        <w:rPr>
          <w:rFonts w:hint="eastAsia" w:ascii="方正仿宋_GBK" w:hAnsi="Times New Roman" w:eastAsia="方正仿宋_GBK" w:cs="Times New Roman"/>
          <w:b/>
          <w:color w:val="auto"/>
          <w:sz w:val="32"/>
          <w:szCs w:val="32"/>
          <w:lang w:eastAsia="zh-CN"/>
        </w:rPr>
        <w:t>加强依法治理，推进法规体系建设。</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方正仿宋_GBK" w:hAnsi="Times New Roman" w:eastAsia="方正仿宋_GBK" w:cs="Times New Roman"/>
          <w:b w:val="0"/>
          <w:bCs w:val="0"/>
          <w:color w:val="auto"/>
          <w:sz w:val="32"/>
          <w:szCs w:val="32"/>
          <w:lang w:eastAsia="zh-CN"/>
        </w:rPr>
      </w:pPr>
      <w:r>
        <w:rPr>
          <w:rFonts w:hint="eastAsia" w:ascii="Times New Roman" w:hAnsi="Times New Roman" w:eastAsia="方正仿宋_GBK" w:cs="Times New Roman"/>
          <w:b w:val="0"/>
          <w:bCs w:val="0"/>
          <w:color w:val="auto"/>
          <w:sz w:val="32"/>
          <w:szCs w:val="32"/>
        </w:rPr>
        <w:t>全面认真贯彻落实《</w:t>
      </w:r>
      <w:r>
        <w:rPr>
          <w:rFonts w:hint="eastAsia" w:ascii="Times New Roman" w:hAnsi="Times New Roman" w:eastAsia="方正仿宋_GBK" w:cs="Times New Roman"/>
          <w:b w:val="0"/>
          <w:bCs w:val="0"/>
          <w:color w:val="auto"/>
          <w:sz w:val="32"/>
          <w:szCs w:val="32"/>
          <w:lang w:eastAsia="zh-CN"/>
        </w:rPr>
        <w:t>南京市夫子庙秦淮风光带风景名胜区</w:t>
      </w:r>
      <w:r>
        <w:rPr>
          <w:rFonts w:hint="eastAsia" w:ascii="Times New Roman" w:hAnsi="Times New Roman" w:eastAsia="方正仿宋_GBK" w:cs="Times New Roman"/>
          <w:b w:val="0"/>
          <w:bCs w:val="0"/>
          <w:color w:val="auto"/>
          <w:sz w:val="32"/>
          <w:szCs w:val="32"/>
        </w:rPr>
        <w:t>条例》，使其更好地发挥实效。</w:t>
      </w:r>
      <w:r>
        <w:rPr>
          <w:rFonts w:ascii="Times New Roman" w:hAnsi="Times New Roman" w:eastAsia="方正仿宋_GBK" w:cs="Times New Roman"/>
          <w:b w:val="0"/>
          <w:bCs w:val="0"/>
          <w:color w:val="auto"/>
          <w:sz w:val="32"/>
          <w:szCs w:val="32"/>
        </w:rPr>
        <w:t>一是完善各项配套制度，健全景区法律体系。</w:t>
      </w:r>
      <w:r>
        <w:rPr>
          <w:rFonts w:hint="eastAsia" w:ascii="Times New Roman" w:hAnsi="Times New Roman" w:eastAsia="方正仿宋_GBK" w:cs="Times New Roman"/>
          <w:b w:val="0"/>
          <w:bCs w:val="0"/>
          <w:color w:val="auto"/>
          <w:sz w:val="32"/>
          <w:szCs w:val="32"/>
        </w:rPr>
        <w:t>为充分贯彻落实《条例》规定</w:t>
      </w:r>
      <w:r>
        <w:rPr>
          <w:rFonts w:ascii="Times New Roman" w:hAnsi="Times New Roman" w:eastAsia="方正仿宋_GBK" w:cs="Times New Roman"/>
          <w:b w:val="0"/>
          <w:bCs w:val="0"/>
          <w:color w:val="auto"/>
          <w:sz w:val="32"/>
          <w:szCs w:val="32"/>
        </w:rPr>
        <w:t>，</w:t>
      </w:r>
      <w:r>
        <w:rPr>
          <w:rFonts w:hint="eastAsia" w:ascii="Times New Roman" w:hAnsi="Times New Roman" w:eastAsia="方正仿宋_GBK" w:cs="Times New Roman"/>
          <w:b w:val="0"/>
          <w:bCs w:val="0"/>
          <w:color w:val="auto"/>
          <w:sz w:val="32"/>
          <w:szCs w:val="32"/>
        </w:rPr>
        <w:t>做好</w:t>
      </w:r>
      <w:r>
        <w:rPr>
          <w:rFonts w:ascii="Times New Roman" w:hAnsi="Times New Roman" w:eastAsia="方正仿宋_GBK" w:cs="Times New Roman"/>
          <w:b w:val="0"/>
          <w:bCs w:val="0"/>
          <w:color w:val="auto"/>
          <w:sz w:val="32"/>
          <w:szCs w:val="32"/>
        </w:rPr>
        <w:t>与</w:t>
      </w:r>
      <w:r>
        <w:rPr>
          <w:rFonts w:hint="eastAsia" w:ascii="Times New Roman" w:hAnsi="Times New Roman" w:eastAsia="方正仿宋_GBK" w:cs="Times New Roman"/>
          <w:b w:val="0"/>
          <w:bCs w:val="0"/>
          <w:color w:val="auto"/>
          <w:sz w:val="32"/>
          <w:szCs w:val="32"/>
        </w:rPr>
        <w:t>之</w:t>
      </w:r>
      <w:r>
        <w:rPr>
          <w:rFonts w:ascii="Times New Roman" w:hAnsi="Times New Roman" w:eastAsia="方正仿宋_GBK" w:cs="Times New Roman"/>
          <w:b w:val="0"/>
          <w:bCs w:val="0"/>
          <w:color w:val="auto"/>
          <w:sz w:val="32"/>
          <w:szCs w:val="32"/>
        </w:rPr>
        <w:t>相配套规范性文件制定工作，细化</w:t>
      </w:r>
      <w:r>
        <w:rPr>
          <w:rFonts w:hint="eastAsia" w:ascii="Times New Roman" w:hAnsi="Times New Roman" w:eastAsia="方正仿宋_GBK" w:cs="Times New Roman"/>
          <w:b w:val="0"/>
          <w:bCs w:val="0"/>
          <w:color w:val="auto"/>
          <w:sz w:val="32"/>
          <w:szCs w:val="32"/>
        </w:rPr>
        <w:t>经营管理、容貌风貌等</w:t>
      </w:r>
      <w:r>
        <w:rPr>
          <w:rFonts w:ascii="Times New Roman" w:hAnsi="Times New Roman" w:eastAsia="方正仿宋_GBK" w:cs="Times New Roman"/>
          <w:b w:val="0"/>
          <w:bCs w:val="0"/>
          <w:color w:val="auto"/>
          <w:sz w:val="32"/>
          <w:szCs w:val="32"/>
        </w:rPr>
        <w:t>有关规定，使</w:t>
      </w:r>
      <w:r>
        <w:rPr>
          <w:rFonts w:hint="eastAsia" w:ascii="Times New Roman" w:hAnsi="Times New Roman" w:eastAsia="方正仿宋_GBK" w:cs="Times New Roman"/>
          <w:b w:val="0"/>
          <w:bCs w:val="0"/>
          <w:color w:val="auto"/>
          <w:sz w:val="32"/>
          <w:szCs w:val="32"/>
        </w:rPr>
        <w:t>之</w:t>
      </w:r>
      <w:r>
        <w:rPr>
          <w:rFonts w:ascii="Times New Roman" w:hAnsi="Times New Roman" w:eastAsia="方正仿宋_GBK" w:cs="Times New Roman"/>
          <w:b w:val="0"/>
          <w:bCs w:val="0"/>
          <w:color w:val="auto"/>
          <w:sz w:val="32"/>
          <w:szCs w:val="32"/>
        </w:rPr>
        <w:t>更具可操作性</w:t>
      </w:r>
      <w:r>
        <w:rPr>
          <w:rFonts w:hint="eastAsia" w:ascii="Times New Roman" w:hAnsi="Times New Roman" w:eastAsia="方正仿宋_GBK" w:cs="Times New Roman"/>
          <w:b w:val="0"/>
          <w:bCs w:val="0"/>
          <w:color w:val="auto"/>
          <w:sz w:val="32"/>
          <w:szCs w:val="32"/>
        </w:rPr>
        <w:t>，形成以《条例》为统领，包含规范性文件在内的完整法律体系，为景区依法治理、文明治理、安全治理提供有力依据</w:t>
      </w:r>
      <w:r>
        <w:rPr>
          <w:rFonts w:ascii="Times New Roman" w:hAnsi="Times New Roman" w:eastAsia="方正仿宋_GBK" w:cs="Times New Roman"/>
          <w:b w:val="0"/>
          <w:bCs w:val="0"/>
          <w:color w:val="auto"/>
          <w:sz w:val="32"/>
          <w:szCs w:val="32"/>
        </w:rPr>
        <w:t>。二是</w:t>
      </w:r>
      <w:r>
        <w:rPr>
          <w:rFonts w:hint="eastAsia" w:ascii="Times New Roman" w:hAnsi="Times New Roman" w:eastAsia="方正仿宋_GBK" w:cs="Times New Roman"/>
          <w:b w:val="0"/>
          <w:bCs w:val="0"/>
          <w:color w:val="auto"/>
          <w:sz w:val="32"/>
          <w:szCs w:val="32"/>
        </w:rPr>
        <w:t>提升服务管理水平，提高景区执法质效</w:t>
      </w:r>
      <w:r>
        <w:rPr>
          <w:rFonts w:ascii="Times New Roman" w:hAnsi="Times New Roman" w:eastAsia="方正仿宋_GBK" w:cs="Times New Roman"/>
          <w:b w:val="0"/>
          <w:bCs w:val="0"/>
          <w:color w:val="auto"/>
          <w:sz w:val="32"/>
          <w:szCs w:val="32"/>
        </w:rPr>
        <w:t>。</w:t>
      </w:r>
      <w:r>
        <w:rPr>
          <w:rFonts w:hint="eastAsia" w:ascii="Times New Roman" w:hAnsi="Times New Roman" w:eastAsia="方正仿宋_GBK" w:cs="Times New Roman"/>
          <w:b w:val="0"/>
          <w:bCs w:val="0"/>
          <w:color w:val="auto"/>
          <w:sz w:val="32"/>
          <w:szCs w:val="32"/>
        </w:rPr>
        <w:t>以《条例》规定为抓手，提升景区执法管理人员的执法水平，</w:t>
      </w:r>
      <w:r>
        <w:rPr>
          <w:rFonts w:ascii="Times New Roman" w:hAnsi="Times New Roman" w:eastAsia="方正仿宋_GBK" w:cs="Times New Roman"/>
          <w:b w:val="0"/>
          <w:bCs w:val="0"/>
          <w:color w:val="auto"/>
          <w:sz w:val="32"/>
          <w:szCs w:val="32"/>
        </w:rPr>
        <w:t>结合《条例》赋权，依法依规履行</w:t>
      </w:r>
      <w:r>
        <w:rPr>
          <w:rFonts w:hint="eastAsia" w:ascii="Times New Roman" w:hAnsi="Times New Roman" w:eastAsia="方正仿宋_GBK" w:cs="Times New Roman"/>
          <w:b w:val="0"/>
          <w:bCs w:val="0"/>
          <w:color w:val="auto"/>
          <w:sz w:val="32"/>
          <w:szCs w:val="32"/>
        </w:rPr>
        <w:t>规划建设、服务管理等职能，发挥</w:t>
      </w:r>
      <w:r>
        <w:rPr>
          <w:rFonts w:ascii="Times New Roman" w:hAnsi="Times New Roman" w:eastAsia="方正仿宋_GBK" w:cs="Times New Roman"/>
          <w:b w:val="0"/>
          <w:bCs w:val="0"/>
          <w:color w:val="auto"/>
          <w:sz w:val="32"/>
          <w:szCs w:val="32"/>
        </w:rPr>
        <w:t>行政审批、行政处罚</w:t>
      </w:r>
      <w:r>
        <w:rPr>
          <w:rFonts w:hint="eastAsia" w:ascii="Times New Roman" w:hAnsi="Times New Roman" w:eastAsia="方正仿宋_GBK" w:cs="Times New Roman"/>
          <w:b w:val="0"/>
          <w:bCs w:val="0"/>
          <w:color w:val="auto"/>
          <w:sz w:val="32"/>
          <w:szCs w:val="32"/>
        </w:rPr>
        <w:t>作用</w:t>
      </w:r>
      <w:r>
        <w:rPr>
          <w:rFonts w:ascii="Times New Roman" w:hAnsi="Times New Roman" w:eastAsia="方正仿宋_GBK" w:cs="Times New Roman"/>
          <w:b w:val="0"/>
          <w:bCs w:val="0"/>
          <w:color w:val="auto"/>
          <w:sz w:val="32"/>
          <w:szCs w:val="32"/>
        </w:rPr>
        <w:t>，提高执法质效</w:t>
      </w:r>
      <w:r>
        <w:rPr>
          <w:rFonts w:hint="eastAsia" w:ascii="Times New Roman" w:hAnsi="Times New Roman" w:eastAsia="方正仿宋_GBK" w:cs="Times New Roman"/>
          <w:b w:val="0"/>
          <w:bCs w:val="0"/>
          <w:color w:val="auto"/>
          <w:sz w:val="32"/>
          <w:szCs w:val="32"/>
        </w:rPr>
        <w:t>，</w:t>
      </w:r>
      <w:r>
        <w:rPr>
          <w:rFonts w:ascii="Times New Roman" w:hAnsi="Times New Roman" w:eastAsia="方正仿宋_GBK" w:cs="Times New Roman"/>
          <w:b w:val="0"/>
          <w:bCs w:val="0"/>
          <w:color w:val="auto"/>
          <w:sz w:val="32"/>
          <w:szCs w:val="32"/>
        </w:rPr>
        <w:t>确保</w:t>
      </w:r>
      <w:r>
        <w:rPr>
          <w:rFonts w:hint="eastAsia" w:ascii="Times New Roman" w:hAnsi="Times New Roman" w:eastAsia="方正仿宋_GBK" w:cs="Times New Roman"/>
          <w:b w:val="0"/>
          <w:bCs w:val="0"/>
          <w:color w:val="auto"/>
          <w:sz w:val="32"/>
          <w:szCs w:val="32"/>
        </w:rPr>
        <w:t>法规</w:t>
      </w:r>
      <w:r>
        <w:rPr>
          <w:rFonts w:ascii="Times New Roman" w:hAnsi="Times New Roman" w:eastAsia="方正仿宋_GBK" w:cs="Times New Roman"/>
          <w:b w:val="0"/>
          <w:bCs w:val="0"/>
          <w:color w:val="auto"/>
          <w:sz w:val="32"/>
          <w:szCs w:val="32"/>
        </w:rPr>
        <w:t>落地见效。三是围绕重点内容，促进景区高质量发展。结合《条例》规定，</w:t>
      </w:r>
      <w:r>
        <w:rPr>
          <w:rFonts w:hint="eastAsia" w:ascii="Times New Roman" w:hAnsi="Times New Roman" w:eastAsia="方正仿宋_GBK" w:cs="Times New Roman"/>
          <w:b w:val="0"/>
          <w:bCs w:val="0"/>
          <w:color w:val="auto"/>
          <w:sz w:val="32"/>
          <w:szCs w:val="32"/>
        </w:rPr>
        <w:t>充分发挥各职能部门职责，落实历史建筑保护、非遗传承、老字号发展等规定，</w:t>
      </w:r>
      <w:r>
        <w:rPr>
          <w:rFonts w:ascii="Times New Roman" w:hAnsi="Times New Roman" w:eastAsia="方正仿宋_GBK" w:cs="Times New Roman"/>
          <w:b w:val="0"/>
          <w:bCs w:val="0"/>
          <w:color w:val="auto"/>
          <w:sz w:val="32"/>
          <w:szCs w:val="32"/>
        </w:rPr>
        <w:t>更好</w:t>
      </w:r>
      <w:r>
        <w:rPr>
          <w:rFonts w:hint="eastAsia" w:ascii="Times New Roman" w:hAnsi="Times New Roman" w:eastAsia="方正仿宋_GBK" w:cs="Times New Roman"/>
          <w:b w:val="0"/>
          <w:bCs w:val="0"/>
          <w:color w:val="auto"/>
          <w:sz w:val="32"/>
          <w:szCs w:val="32"/>
        </w:rPr>
        <w:t>地</w:t>
      </w:r>
      <w:r>
        <w:rPr>
          <w:rFonts w:ascii="Times New Roman" w:hAnsi="Times New Roman" w:eastAsia="方正仿宋_GBK" w:cs="Times New Roman"/>
          <w:b w:val="0"/>
          <w:bCs w:val="0"/>
          <w:color w:val="auto"/>
          <w:sz w:val="32"/>
          <w:szCs w:val="32"/>
        </w:rPr>
        <w:t>履行历史文化保护职责，彰显景区文化特色</w:t>
      </w:r>
      <w:r>
        <w:rPr>
          <w:rFonts w:hint="eastAsia" w:ascii="Times New Roman" w:hAnsi="Times New Roman" w:eastAsia="方正仿宋_GBK" w:cs="Times New Roman"/>
          <w:b w:val="0"/>
          <w:bCs w:val="0"/>
          <w:color w:val="auto"/>
          <w:sz w:val="32"/>
          <w:szCs w:val="32"/>
        </w:rPr>
        <w:t>，提升人文休闲品质</w:t>
      </w:r>
      <w:r>
        <w:rPr>
          <w:rFonts w:ascii="Times New Roman" w:hAnsi="Times New Roman" w:eastAsia="方正仿宋_GBK" w:cs="Times New Roman"/>
          <w:b w:val="0"/>
          <w:bCs w:val="0"/>
          <w:color w:val="auto"/>
          <w:sz w:val="32"/>
          <w:szCs w:val="32"/>
        </w:rPr>
        <w:t>，促进消费升级创新</w:t>
      </w:r>
      <w:r>
        <w:rPr>
          <w:rFonts w:hint="eastAsia" w:ascii="Times New Roman" w:hAnsi="Times New Roman" w:eastAsia="方正仿宋_GBK" w:cs="Times New Roman"/>
          <w:b w:val="0"/>
          <w:bCs w:val="0"/>
          <w:color w:val="auto"/>
          <w:sz w:val="32"/>
          <w:szCs w:val="32"/>
        </w:rPr>
        <w:t>，推进文旅商融合</w:t>
      </w:r>
      <w:r>
        <w:rPr>
          <w:rFonts w:ascii="Times New Roman" w:hAnsi="Times New Roman" w:eastAsia="方正仿宋_GBK" w:cs="Times New Roman"/>
          <w:b w:val="0"/>
          <w:bCs w:val="0"/>
          <w:color w:val="auto"/>
          <w:sz w:val="32"/>
          <w:szCs w:val="32"/>
        </w:rPr>
        <w:t>。</w:t>
      </w:r>
    </w:p>
    <w:p>
      <w:pPr>
        <w:pStyle w:val="6"/>
        <w:keepNext w:val="0"/>
        <w:keepLines w:val="0"/>
        <w:pageBreakBefore w:val="0"/>
        <w:kinsoku/>
        <w:wordWrap/>
        <w:overflowPunct/>
        <w:topLinePunct w:val="0"/>
        <w:autoSpaceDE/>
        <w:autoSpaceDN/>
        <w:bidi w:val="0"/>
        <w:adjustRightInd/>
        <w:spacing w:beforeAutospacing="0" w:afterAutospacing="0" w:line="540" w:lineRule="exact"/>
        <w:ind w:firstLine="720" w:firstLineChars="200"/>
        <w:jc w:val="both"/>
        <w:rPr>
          <w:rFonts w:hint="eastAsia" w:ascii="方正仿宋_GBK" w:hAnsi="方正仿宋_GBK" w:eastAsia="方正仿宋_GBK" w:cs="方正仿宋_GBK"/>
          <w:color w:val="auto"/>
          <w:sz w:val="36"/>
          <w:szCs w:val="36"/>
        </w:rPr>
      </w:pPr>
    </w:p>
    <w:p>
      <w:pPr>
        <w:pStyle w:val="6"/>
        <w:keepNext w:val="0"/>
        <w:keepLines w:val="0"/>
        <w:pageBreakBefore w:val="0"/>
        <w:kinsoku/>
        <w:wordWrap/>
        <w:overflowPunct/>
        <w:topLinePunct w:val="0"/>
        <w:autoSpaceDE/>
        <w:autoSpaceDN/>
        <w:bidi w:val="0"/>
        <w:adjustRightInd/>
        <w:spacing w:beforeAutospacing="0" w:afterAutospacing="0" w:line="540" w:lineRule="exact"/>
        <w:jc w:val="both"/>
        <w:rPr>
          <w:rFonts w:ascii="方正仿宋_GBK" w:hAnsi="方正仿宋_GBK" w:eastAsia="方正仿宋_GBK" w:cs="方正仿宋_GBK"/>
          <w:color w:val="auto"/>
          <w:sz w:val="36"/>
          <w:szCs w:val="36"/>
        </w:rPr>
      </w:pPr>
      <w:r>
        <w:rPr>
          <w:rFonts w:hint="eastAsia" w:ascii="方正仿宋_GBK" w:hAnsi="方正仿宋_GBK" w:eastAsia="方正仿宋_GBK" w:cs="方正仿宋_GBK"/>
          <w:color w:val="auto"/>
          <w:sz w:val="36"/>
          <w:szCs w:val="36"/>
        </w:rPr>
        <w:t>附件1： 老城南文化旅游区板块主要经济指标年度分解表</w:t>
      </w:r>
    </w:p>
    <w:p>
      <w:pPr>
        <w:keepNext w:val="0"/>
        <w:keepLines w:val="0"/>
        <w:pageBreakBefore w:val="0"/>
        <w:kinsoku/>
        <w:wordWrap/>
        <w:overflowPunct/>
        <w:topLinePunct w:val="0"/>
        <w:autoSpaceDE/>
        <w:autoSpaceDN/>
        <w:bidi w:val="0"/>
        <w:adjustRightInd/>
        <w:spacing w:line="540" w:lineRule="exact"/>
        <w:jc w:val="both"/>
        <w:rPr>
          <w:rFonts w:ascii="方正仿宋_GBK" w:hAnsi="方正仿宋_GBK" w:eastAsia="方正仿宋_GBK" w:cs="方正仿宋_GBK"/>
          <w:color w:val="auto"/>
          <w:sz w:val="36"/>
          <w:szCs w:val="36"/>
        </w:rPr>
      </w:pPr>
      <w:r>
        <w:rPr>
          <w:rFonts w:hint="eastAsia" w:ascii="方正仿宋_GBK" w:hAnsi="方正仿宋_GBK" w:eastAsia="方正仿宋_GBK" w:cs="方正仿宋_GBK"/>
          <w:color w:val="auto"/>
          <w:sz w:val="36"/>
          <w:szCs w:val="36"/>
        </w:rPr>
        <w:t>附件2： 老城南文化旅游区板块特色指标年度分解表</w:t>
      </w:r>
    </w:p>
    <w:p>
      <w:pPr>
        <w:keepNext w:val="0"/>
        <w:keepLines w:val="0"/>
        <w:pageBreakBefore w:val="0"/>
        <w:kinsoku/>
        <w:wordWrap/>
        <w:overflowPunct/>
        <w:topLinePunct w:val="0"/>
        <w:autoSpaceDE/>
        <w:autoSpaceDN/>
        <w:bidi w:val="0"/>
        <w:adjustRightInd/>
        <w:spacing w:line="540" w:lineRule="exact"/>
        <w:jc w:val="both"/>
        <w:rPr>
          <w:rFonts w:hint="eastAsia" w:ascii="方正仿宋_GBK" w:hAnsi="方正仿宋_GBK" w:eastAsia="方正仿宋_GBK" w:cs="方正仿宋_GBK"/>
          <w:color w:val="auto"/>
          <w:sz w:val="36"/>
          <w:szCs w:val="36"/>
        </w:rPr>
        <w:sectPr>
          <w:footerReference r:id="rId3" w:type="default"/>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auto"/>
          <w:sz w:val="36"/>
          <w:szCs w:val="36"/>
        </w:rPr>
        <w:t>附件3： 老城南</w:t>
      </w:r>
      <w:r>
        <w:rPr>
          <w:rFonts w:hint="eastAsia" w:ascii="方正仿宋_GBK" w:hAnsi="方正仿宋_GBK" w:eastAsia="方正仿宋_GBK" w:cs="方正仿宋_GBK"/>
          <w:color w:val="auto"/>
          <w:sz w:val="36"/>
          <w:szCs w:val="36"/>
          <w:lang w:eastAsia="zh-CN"/>
        </w:rPr>
        <w:t>“十四五”</w:t>
      </w:r>
      <w:r>
        <w:rPr>
          <w:rFonts w:hint="eastAsia" w:ascii="方正仿宋_GBK" w:hAnsi="方正仿宋_GBK" w:eastAsia="方正仿宋_GBK" w:cs="方正仿宋_GBK"/>
          <w:color w:val="auto"/>
          <w:sz w:val="36"/>
          <w:szCs w:val="36"/>
        </w:rPr>
        <w:t>文旅</w:t>
      </w:r>
      <w:r>
        <w:rPr>
          <w:rFonts w:hint="eastAsia" w:ascii="方正仿宋_GBK" w:hAnsi="方正仿宋_GBK" w:eastAsia="方正仿宋_GBK" w:cs="方正仿宋_GBK"/>
          <w:color w:val="auto"/>
          <w:sz w:val="36"/>
          <w:szCs w:val="36"/>
          <w:lang w:eastAsia="zh-CN"/>
        </w:rPr>
        <w:t>商</w:t>
      </w:r>
      <w:r>
        <w:rPr>
          <w:rFonts w:hint="eastAsia" w:ascii="方正仿宋_GBK" w:hAnsi="方正仿宋_GBK" w:eastAsia="方正仿宋_GBK" w:cs="方正仿宋_GBK"/>
          <w:color w:val="auto"/>
          <w:sz w:val="36"/>
          <w:szCs w:val="36"/>
        </w:rPr>
        <w:t>融合发展重点项目表</w:t>
      </w:r>
    </w:p>
    <w:p>
      <w:pPr>
        <w:keepNext w:val="0"/>
        <w:keepLines w:val="0"/>
        <w:pageBreakBefore w:val="0"/>
        <w:kinsoku/>
        <w:wordWrap/>
        <w:overflowPunct/>
        <w:topLinePunct w:val="0"/>
        <w:autoSpaceDE/>
        <w:autoSpaceDN/>
        <w:bidi w:val="0"/>
        <w:adjustRightInd/>
        <w:spacing w:line="540" w:lineRule="exact"/>
        <w:jc w:val="both"/>
        <w:rPr>
          <w:rFonts w:hint="eastAsia" w:ascii="方正仿宋_GBK" w:hAnsi="方正仿宋_GBK" w:eastAsia="方正仿宋_GBK" w:cs="方正仿宋_GBK"/>
          <w:color w:val="auto"/>
          <w:sz w:val="32"/>
        </w:rPr>
      </w:pPr>
      <w:r>
        <w:rPr>
          <w:rFonts w:hint="eastAsia" w:ascii="方正仿宋_GBK" w:hAnsi="方正仿宋_GBK" w:eastAsia="方正仿宋_GBK" w:cs="方正仿宋_GBK"/>
          <w:color w:val="auto"/>
          <w:sz w:val="32"/>
        </w:rPr>
        <w:t>附件1：</w:t>
      </w:r>
    </w:p>
    <w:p>
      <w:pPr>
        <w:pStyle w:val="2"/>
      </w:pPr>
    </w:p>
    <w:p>
      <w:pPr>
        <w:pStyle w:val="2"/>
      </w:pPr>
    </w:p>
    <w:p>
      <w:pPr>
        <w:pStyle w:val="6"/>
        <w:keepNext w:val="0"/>
        <w:keepLines w:val="0"/>
        <w:pageBreakBefore w:val="0"/>
        <w:kinsoku/>
        <w:wordWrap/>
        <w:overflowPunct/>
        <w:topLinePunct w:val="0"/>
        <w:autoSpaceDE/>
        <w:autoSpaceDN/>
        <w:bidi w:val="0"/>
        <w:adjustRightInd/>
        <w:spacing w:beforeAutospacing="0" w:afterAutospacing="0" w:line="540" w:lineRule="exact"/>
        <w:ind w:firstLine="540" w:firstLineChars="150"/>
        <w:jc w:val="both"/>
        <w:rPr>
          <w:rFonts w:hint="eastAsia" w:ascii="方正仿宋_GBK" w:hAnsi="方正仿宋_GBK" w:eastAsia="方正仿宋_GBK" w:cs="方正仿宋_GBK"/>
          <w:color w:val="auto"/>
          <w:sz w:val="36"/>
        </w:rPr>
      </w:pPr>
      <w:r>
        <w:rPr>
          <w:rFonts w:hint="eastAsia" w:ascii="方正仿宋_GBK" w:hAnsi="方正仿宋_GBK" w:eastAsia="方正仿宋_GBK" w:cs="方正仿宋_GBK"/>
          <w:color w:val="auto"/>
          <w:sz w:val="36"/>
        </w:rPr>
        <w:t>老城南文化旅游区板块主要经济指标年度分解表</w:t>
      </w:r>
    </w:p>
    <w:p>
      <w:pPr>
        <w:pStyle w:val="6"/>
        <w:keepNext w:val="0"/>
        <w:keepLines w:val="0"/>
        <w:pageBreakBefore w:val="0"/>
        <w:kinsoku/>
        <w:wordWrap/>
        <w:overflowPunct/>
        <w:topLinePunct w:val="0"/>
        <w:autoSpaceDE/>
        <w:autoSpaceDN/>
        <w:bidi w:val="0"/>
        <w:adjustRightInd/>
        <w:spacing w:beforeAutospacing="0" w:afterAutospacing="0" w:line="540" w:lineRule="exact"/>
        <w:ind w:firstLine="540" w:firstLineChars="150"/>
        <w:jc w:val="both"/>
        <w:rPr>
          <w:rFonts w:hint="eastAsia" w:ascii="方正仿宋_GBK" w:hAnsi="方正仿宋_GBK" w:eastAsia="方正仿宋_GBK" w:cs="方正仿宋_GBK"/>
          <w:color w:val="auto"/>
          <w:sz w:val="36"/>
        </w:rPr>
      </w:pPr>
    </w:p>
    <w:tbl>
      <w:tblPr>
        <w:tblStyle w:val="7"/>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067"/>
        <w:gridCol w:w="1066"/>
        <w:gridCol w:w="984"/>
        <w:gridCol w:w="1000"/>
        <w:gridCol w:w="1015"/>
        <w:gridCol w:w="1116"/>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指标名称</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2021年</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2022年</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2023年</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2024年</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2025年</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lang w:eastAsia="zh-CN"/>
              </w:rPr>
              <w:t>年</w:t>
            </w:r>
            <w:r>
              <w:rPr>
                <w:rFonts w:hint="eastAsia" w:ascii="方正仿宋_GBK" w:hAnsi="方正仿宋_GBK" w:eastAsia="方正仿宋_GBK" w:cs="方正仿宋_GBK"/>
                <w:b/>
                <w:color w:val="auto"/>
                <w:sz w:val="24"/>
                <w:szCs w:val="22"/>
              </w:rPr>
              <w:t>平</w:t>
            </w:r>
          </w:p>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b/>
                <w:color w:val="auto"/>
                <w:sz w:val="24"/>
                <w:szCs w:val="22"/>
                <w:lang w:eastAsia="zh-CN"/>
              </w:rPr>
            </w:pPr>
            <w:r>
              <w:rPr>
                <w:rFonts w:hint="eastAsia" w:ascii="方正仿宋_GBK" w:hAnsi="方正仿宋_GBK" w:eastAsia="方正仿宋_GBK" w:cs="方正仿宋_GBK"/>
                <w:b/>
                <w:color w:val="auto"/>
                <w:sz w:val="24"/>
                <w:szCs w:val="22"/>
              </w:rPr>
              <w:t>均</w:t>
            </w:r>
            <w:r>
              <w:rPr>
                <w:rFonts w:hint="eastAsia" w:ascii="方正仿宋_GBK" w:hAnsi="方正仿宋_GBK" w:eastAsia="方正仿宋_GBK" w:cs="方正仿宋_GBK"/>
                <w:b/>
                <w:color w:val="auto"/>
                <w:sz w:val="24"/>
                <w:szCs w:val="22"/>
                <w:lang w:eastAsia="zh-CN"/>
              </w:rPr>
              <w:t>值</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核心区年公共财政预算收入</w:t>
            </w:r>
          </w:p>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Cs/>
                <w:color w:val="auto"/>
                <w:szCs w:val="22"/>
              </w:rPr>
            </w:pPr>
            <w:r>
              <w:rPr>
                <w:rFonts w:hint="eastAsia" w:ascii="方正仿宋_GBK" w:hAnsi="方正仿宋_GBK" w:eastAsia="方正仿宋_GBK" w:cs="方正仿宋_GBK"/>
                <w:b/>
                <w:color w:val="auto"/>
                <w:szCs w:val="22"/>
              </w:rPr>
              <w:t>(亿元)</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2"/>
                <w:lang w:val="en-US" w:eastAsia="zh-CN"/>
              </w:rPr>
            </w:pPr>
            <w:r>
              <w:rPr>
                <w:rFonts w:hint="eastAsia" w:ascii="方正仿宋_GBK" w:hAnsi="方正仿宋_GBK" w:eastAsia="方正仿宋_GBK" w:cs="方正仿宋_GBK"/>
                <w:color w:val="auto"/>
                <w:szCs w:val="22"/>
                <w:lang w:val="en-US" w:eastAsia="zh-CN"/>
              </w:rPr>
              <w:t>0.74</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lang w:val="en-US" w:eastAsia="zh-CN"/>
              </w:rPr>
              <w:t>0.78</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lang w:val="en-US" w:eastAsia="zh-CN"/>
              </w:rPr>
              <w:t>0.81</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lang w:val="en-US" w:eastAsia="zh-CN"/>
              </w:rPr>
              <w:t>0.86</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lang w:val="en-US" w:eastAsia="zh-CN"/>
              </w:rPr>
              <w:t>0.9</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2"/>
                <w:lang w:val="en-US" w:eastAsia="zh-CN"/>
              </w:rPr>
            </w:pPr>
            <w:r>
              <w:rPr>
                <w:rFonts w:hint="eastAsia" w:ascii="方正仿宋_GBK" w:hAnsi="方正仿宋_GBK" w:eastAsia="方正仿宋_GBK" w:cs="方正仿宋_GBK"/>
                <w:color w:val="auto"/>
                <w:szCs w:val="22"/>
                <w:lang w:val="en-US" w:eastAsia="zh-CN"/>
              </w:rPr>
              <w:t>0.82</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年社会消费品零售同比增幅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7</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9</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12</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8.6</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建筑业产值同比增幅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Cs/>
                <w:color w:val="auto"/>
                <w:szCs w:val="22"/>
              </w:rPr>
            </w:pPr>
            <w:r>
              <w:rPr>
                <w:rFonts w:hint="eastAsia" w:ascii="方正仿宋_GBK" w:hAnsi="方正仿宋_GBK" w:eastAsia="方正仿宋_GBK" w:cs="方正仿宋_GBK"/>
                <w:b/>
                <w:color w:val="auto"/>
                <w:szCs w:val="22"/>
              </w:rPr>
              <w:t>金融业营业收入同比增幅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限额以上批发业销售额同比增幅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7</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9</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12</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8.6</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限额以上零售业销售额同比增幅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7</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9</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12</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8.6</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限额以上住宿业营业额同比增幅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7</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9</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12</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8.6</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限额以上餐饮业营业额同比增幅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7</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9</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12</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8.6</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规上服务业营业收入同比增幅</w:t>
            </w:r>
            <w:r>
              <w:rPr>
                <w:rFonts w:hint="eastAsia" w:ascii="方正仿宋_GBK" w:hAnsi="方正仿宋_GBK" w:eastAsia="方正仿宋_GBK" w:cs="方正仿宋_GBK"/>
                <w:b/>
                <w:color w:val="auto"/>
                <w:sz w:val="24"/>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7</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9</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12</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8.6</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软件和信息服务业收入增幅</w:t>
            </w:r>
          </w:p>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10</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年外贸出口额</w:t>
            </w:r>
          </w:p>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增幅（%）</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5</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lang w:eastAsia="zh-CN"/>
              </w:rPr>
              <w:t>年</w:t>
            </w:r>
            <w:r>
              <w:rPr>
                <w:rFonts w:hint="eastAsia" w:ascii="方正仿宋_GBK" w:hAnsi="方正仿宋_GBK" w:eastAsia="方正仿宋_GBK" w:cs="方正仿宋_GBK"/>
                <w:b/>
                <w:color w:val="auto"/>
                <w:szCs w:val="22"/>
              </w:rPr>
              <w:t>实际利用</w:t>
            </w:r>
          </w:p>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外资（亿美元）</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2"/>
                <w:lang w:val="en-US" w:eastAsia="zh-CN"/>
              </w:rPr>
            </w:pPr>
            <w:r>
              <w:rPr>
                <w:rFonts w:hint="eastAsia" w:ascii="方正仿宋_GBK" w:hAnsi="方正仿宋_GBK" w:eastAsia="方正仿宋_GBK" w:cs="方正仿宋_GBK"/>
                <w:color w:val="auto"/>
                <w:szCs w:val="22"/>
              </w:rPr>
              <w:t>0.</w:t>
            </w:r>
            <w:r>
              <w:rPr>
                <w:rFonts w:hint="eastAsia" w:ascii="方正仿宋_GBK" w:hAnsi="方正仿宋_GBK" w:eastAsia="方正仿宋_GBK" w:cs="方正仿宋_GBK"/>
                <w:color w:val="auto"/>
                <w:szCs w:val="22"/>
                <w:lang w:val="en-US" w:eastAsia="zh-CN"/>
              </w:rPr>
              <w:t>2</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2"/>
                <w:lang w:eastAsia="zh-CN"/>
              </w:rPr>
            </w:pPr>
            <w:r>
              <w:rPr>
                <w:rFonts w:hint="eastAsia" w:ascii="方正仿宋_GBK" w:hAnsi="方正仿宋_GBK" w:eastAsia="方正仿宋_GBK" w:cs="方正仿宋_GBK"/>
                <w:color w:val="auto"/>
                <w:szCs w:val="22"/>
              </w:rPr>
              <w:t>0.</w:t>
            </w:r>
            <w:r>
              <w:rPr>
                <w:rFonts w:hint="eastAsia" w:ascii="方正仿宋_GBK" w:hAnsi="方正仿宋_GBK" w:eastAsia="方正仿宋_GBK" w:cs="方正仿宋_GBK"/>
                <w:color w:val="auto"/>
                <w:szCs w:val="22"/>
                <w:lang w:val="en-US" w:eastAsia="zh-CN"/>
              </w:rPr>
              <w:t>3</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0.4</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0.4</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0.4</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2"/>
                <w:lang w:val="en-US" w:eastAsia="zh-CN"/>
              </w:rPr>
            </w:pPr>
            <w:r>
              <w:rPr>
                <w:rFonts w:hint="eastAsia" w:ascii="方正仿宋_GBK" w:hAnsi="方正仿宋_GBK" w:eastAsia="方正仿宋_GBK" w:cs="方正仿宋_GBK"/>
                <w:color w:val="auto"/>
                <w:szCs w:val="22"/>
                <w:lang w:val="en-US" w:eastAsia="zh-CN"/>
              </w:rPr>
              <w:t>0.34</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921"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highlight w:val="none"/>
              </w:rPr>
            </w:pPr>
            <w:r>
              <w:rPr>
                <w:rFonts w:hint="eastAsia" w:ascii="方正仿宋_GBK" w:hAnsi="方正仿宋_GBK" w:eastAsia="方正仿宋_GBK" w:cs="方正仿宋_GBK"/>
                <w:b/>
                <w:color w:val="auto"/>
                <w:szCs w:val="22"/>
                <w:highlight w:val="none"/>
              </w:rPr>
              <w:t>风光带管委会</w:t>
            </w:r>
          </w:p>
          <w:p>
            <w:pPr>
              <w:keepNext w:val="0"/>
              <w:keepLines w:val="0"/>
              <w:pageBreakBefore w:val="0"/>
              <w:tabs>
                <w:tab w:val="left" w:pos="1890"/>
              </w:tabs>
              <w:kinsoku/>
              <w:wordWrap/>
              <w:overflowPunct/>
              <w:topLinePunct w:val="0"/>
              <w:autoSpaceDE/>
              <w:autoSpaceDN/>
              <w:bidi w:val="0"/>
              <w:adjustRightInd/>
              <w:spacing w:line="540" w:lineRule="exact"/>
              <w:jc w:val="both"/>
              <w:rPr>
                <w:rFonts w:hint="eastAsia" w:ascii="方正仿宋_GBK" w:hAnsi="方正仿宋_GBK" w:eastAsia="方正仿宋_GBK" w:cs="方正仿宋_GBK"/>
                <w:b/>
                <w:color w:val="auto"/>
                <w:kern w:val="2"/>
                <w:sz w:val="21"/>
                <w:szCs w:val="22"/>
                <w:highlight w:val="none"/>
                <w:lang w:val="en-US" w:eastAsia="zh-CN" w:bidi="ar-SA"/>
              </w:rPr>
            </w:pPr>
            <w:r>
              <w:rPr>
                <w:rFonts w:hint="eastAsia" w:ascii="方正仿宋_GBK" w:hAnsi="方正仿宋_GBK" w:eastAsia="方正仿宋_GBK" w:cs="方正仿宋_GBK"/>
                <w:b/>
                <w:color w:val="auto"/>
                <w:szCs w:val="22"/>
                <w:highlight w:val="none"/>
              </w:rPr>
              <w:t>累计全社会固定资产投资(亿元)</w:t>
            </w:r>
          </w:p>
        </w:tc>
        <w:tc>
          <w:tcPr>
            <w:tcW w:w="1067"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kern w:val="2"/>
                <w:sz w:val="21"/>
                <w:szCs w:val="22"/>
                <w:highlight w:val="none"/>
                <w:lang w:val="en-US" w:eastAsia="zh-CN" w:bidi="ar-SA"/>
              </w:rPr>
            </w:pPr>
            <w:r>
              <w:rPr>
                <w:rFonts w:hint="eastAsia" w:ascii="方正仿宋_GBK" w:hAnsi="方正仿宋_GBK" w:eastAsia="方正仿宋_GBK" w:cs="方正仿宋_GBK"/>
                <w:color w:val="auto"/>
                <w:szCs w:val="22"/>
                <w:highlight w:val="none"/>
                <w:lang w:val="en-US" w:eastAsia="zh-CN"/>
              </w:rPr>
              <w:t>26.35</w:t>
            </w:r>
          </w:p>
        </w:tc>
        <w:tc>
          <w:tcPr>
            <w:tcW w:w="106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kern w:val="2"/>
                <w:sz w:val="21"/>
                <w:szCs w:val="22"/>
                <w:highlight w:val="none"/>
                <w:lang w:val="en-US" w:eastAsia="zh-CN" w:bidi="ar-SA"/>
              </w:rPr>
            </w:pPr>
            <w:r>
              <w:rPr>
                <w:rFonts w:hint="eastAsia" w:ascii="方正仿宋_GBK" w:hAnsi="方正仿宋_GBK" w:eastAsia="方正仿宋_GBK" w:cs="方正仿宋_GBK"/>
                <w:color w:val="auto"/>
                <w:kern w:val="2"/>
                <w:sz w:val="21"/>
                <w:szCs w:val="22"/>
                <w:highlight w:val="none"/>
                <w:lang w:val="en-US" w:eastAsia="zh-CN" w:bidi="ar-SA"/>
              </w:rPr>
              <w:t>25</w:t>
            </w:r>
          </w:p>
        </w:tc>
        <w:tc>
          <w:tcPr>
            <w:tcW w:w="984"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kern w:val="2"/>
                <w:sz w:val="21"/>
                <w:szCs w:val="22"/>
                <w:highlight w:val="none"/>
                <w:lang w:val="en-US" w:eastAsia="zh-CN" w:bidi="ar-SA"/>
              </w:rPr>
            </w:pPr>
            <w:r>
              <w:rPr>
                <w:rFonts w:hint="eastAsia" w:ascii="方正仿宋_GBK" w:hAnsi="方正仿宋_GBK" w:eastAsia="方正仿宋_GBK" w:cs="方正仿宋_GBK"/>
                <w:color w:val="auto"/>
                <w:szCs w:val="22"/>
                <w:highlight w:val="none"/>
                <w:lang w:val="en-US" w:eastAsia="zh-CN"/>
              </w:rPr>
              <w:t>25</w:t>
            </w:r>
          </w:p>
        </w:tc>
        <w:tc>
          <w:tcPr>
            <w:tcW w:w="1000"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2"/>
                <w:highlight w:val="none"/>
                <w:lang w:val="en-US" w:eastAsia="zh-CN" w:bidi="ar-SA"/>
              </w:rPr>
            </w:pPr>
            <w:r>
              <w:rPr>
                <w:rFonts w:hint="eastAsia" w:ascii="方正仿宋_GBK" w:hAnsi="方正仿宋_GBK" w:eastAsia="方正仿宋_GBK" w:cs="方正仿宋_GBK"/>
                <w:color w:val="auto"/>
                <w:szCs w:val="22"/>
                <w:highlight w:val="none"/>
                <w:lang w:val="en-US" w:eastAsia="zh-CN"/>
              </w:rPr>
              <w:t>30</w:t>
            </w:r>
          </w:p>
        </w:tc>
        <w:tc>
          <w:tcPr>
            <w:tcW w:w="1015"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kern w:val="2"/>
                <w:sz w:val="21"/>
                <w:szCs w:val="22"/>
                <w:highlight w:val="none"/>
                <w:lang w:val="en-US" w:eastAsia="zh-CN" w:bidi="ar-SA"/>
              </w:rPr>
            </w:pPr>
            <w:r>
              <w:rPr>
                <w:rFonts w:hint="eastAsia" w:ascii="方正仿宋_GBK" w:hAnsi="方正仿宋_GBK" w:eastAsia="方正仿宋_GBK" w:cs="方正仿宋_GBK"/>
                <w:color w:val="auto"/>
                <w:kern w:val="2"/>
                <w:sz w:val="21"/>
                <w:szCs w:val="22"/>
                <w:highlight w:val="none"/>
                <w:lang w:val="en-US" w:eastAsia="zh-CN" w:bidi="ar-SA"/>
              </w:rPr>
              <w:t>33.65</w:t>
            </w:r>
          </w:p>
        </w:tc>
        <w:tc>
          <w:tcPr>
            <w:tcW w:w="1116"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kern w:val="2"/>
                <w:sz w:val="21"/>
                <w:szCs w:val="22"/>
                <w:highlight w:val="none"/>
                <w:lang w:val="en-US" w:eastAsia="zh-CN" w:bidi="ar-SA"/>
              </w:rPr>
            </w:pPr>
            <w:r>
              <w:rPr>
                <w:rFonts w:hint="eastAsia" w:ascii="方正仿宋_GBK" w:hAnsi="方正仿宋_GBK" w:eastAsia="方正仿宋_GBK" w:cs="方正仿宋_GBK"/>
                <w:color w:val="auto"/>
                <w:szCs w:val="22"/>
                <w:highlight w:val="none"/>
                <w:lang w:val="en-US" w:eastAsia="zh-CN"/>
              </w:rPr>
              <w:t>28</w:t>
            </w:r>
          </w:p>
        </w:tc>
        <w:tc>
          <w:tcPr>
            <w:tcW w:w="78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kern w:val="2"/>
                <w:sz w:val="21"/>
                <w:szCs w:val="22"/>
                <w:highlight w:val="none"/>
                <w:lang w:val="en-US" w:eastAsia="zh-CN" w:bidi="ar-SA"/>
              </w:rPr>
            </w:pPr>
          </w:p>
        </w:tc>
      </w:tr>
    </w:tbl>
    <w:p>
      <w:pPr>
        <w:keepNext w:val="0"/>
        <w:keepLines w:val="0"/>
        <w:pageBreakBefore w:val="0"/>
        <w:kinsoku/>
        <w:wordWrap/>
        <w:overflowPunct/>
        <w:topLinePunct w:val="0"/>
        <w:autoSpaceDE/>
        <w:autoSpaceDN/>
        <w:bidi w:val="0"/>
        <w:adjustRightInd/>
        <w:spacing w:line="540" w:lineRule="exact"/>
        <w:jc w:val="both"/>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b/>
          <w:color w:val="auto"/>
          <w:szCs w:val="22"/>
        </w:rPr>
        <w:t xml:space="preserve"> （备注：本表根据年度建设实际进度调整计划指标）</w:t>
      </w:r>
    </w:p>
    <w:p>
      <w:pPr>
        <w:pStyle w:val="6"/>
        <w:keepNext w:val="0"/>
        <w:keepLines w:val="0"/>
        <w:pageBreakBefore w:val="0"/>
        <w:kinsoku/>
        <w:wordWrap/>
        <w:overflowPunct/>
        <w:topLinePunct w:val="0"/>
        <w:autoSpaceDE/>
        <w:autoSpaceDN/>
        <w:bidi w:val="0"/>
        <w:adjustRightInd/>
        <w:spacing w:beforeAutospacing="0" w:afterAutospacing="0" w:line="540" w:lineRule="exact"/>
        <w:jc w:val="both"/>
        <w:rPr>
          <w:rFonts w:hint="eastAsia" w:ascii="方正仿宋_GBK" w:hAnsi="方正仿宋_GBK" w:eastAsia="方正仿宋_GBK" w:cs="方正仿宋_GBK"/>
          <w:color w:val="auto"/>
          <w:sz w:val="32"/>
        </w:rPr>
      </w:pPr>
      <w:r>
        <w:rPr>
          <w:rFonts w:hint="eastAsia" w:ascii="方正仿宋_GBK" w:hAnsi="方正仿宋_GBK" w:eastAsia="方正仿宋_GBK" w:cs="方正仿宋_GBK"/>
          <w:color w:val="auto"/>
          <w:sz w:val="32"/>
        </w:rPr>
        <w:t>附件2：</w:t>
      </w:r>
    </w:p>
    <w:p>
      <w:pPr>
        <w:pStyle w:val="6"/>
        <w:keepNext w:val="0"/>
        <w:keepLines w:val="0"/>
        <w:pageBreakBefore w:val="0"/>
        <w:kinsoku/>
        <w:wordWrap/>
        <w:overflowPunct/>
        <w:topLinePunct w:val="0"/>
        <w:autoSpaceDE/>
        <w:autoSpaceDN/>
        <w:bidi w:val="0"/>
        <w:adjustRightInd/>
        <w:spacing w:beforeAutospacing="0" w:afterAutospacing="0" w:line="540" w:lineRule="exact"/>
        <w:jc w:val="both"/>
        <w:rPr>
          <w:rFonts w:hint="eastAsia" w:ascii="方正仿宋_GBK" w:hAnsi="方正仿宋_GBK" w:eastAsia="方正仿宋_GBK" w:cs="方正仿宋_GBK"/>
          <w:color w:val="auto"/>
          <w:sz w:val="32"/>
        </w:rPr>
      </w:pPr>
    </w:p>
    <w:p>
      <w:pPr>
        <w:pStyle w:val="6"/>
        <w:keepNext w:val="0"/>
        <w:keepLines w:val="0"/>
        <w:pageBreakBefore w:val="0"/>
        <w:kinsoku/>
        <w:wordWrap/>
        <w:overflowPunct/>
        <w:topLinePunct w:val="0"/>
        <w:autoSpaceDE/>
        <w:autoSpaceDN/>
        <w:bidi w:val="0"/>
        <w:adjustRightInd/>
        <w:spacing w:beforeAutospacing="0" w:afterAutospacing="0" w:line="540" w:lineRule="exact"/>
        <w:ind w:firstLine="480" w:firstLineChars="150"/>
        <w:jc w:val="both"/>
        <w:rPr>
          <w:rFonts w:hint="eastAsia" w:ascii="方正仿宋_GBK" w:hAnsi="方正仿宋_GBK" w:eastAsia="方正仿宋_GBK" w:cs="方正仿宋_GBK"/>
          <w:color w:val="auto"/>
          <w:sz w:val="36"/>
        </w:rPr>
      </w:pPr>
      <w:r>
        <w:rPr>
          <w:rFonts w:hint="eastAsia" w:ascii="方正仿宋_GBK" w:hAnsi="方正仿宋_GBK" w:eastAsia="方正仿宋_GBK" w:cs="方正仿宋_GBK"/>
          <w:color w:val="auto"/>
          <w:sz w:val="32"/>
        </w:rPr>
        <w:t xml:space="preserve">  </w:t>
      </w:r>
      <w:r>
        <w:rPr>
          <w:rFonts w:hint="eastAsia" w:ascii="方正仿宋_GBK" w:hAnsi="方正仿宋_GBK" w:eastAsia="方正仿宋_GBK" w:cs="方正仿宋_GBK"/>
          <w:color w:val="auto"/>
          <w:sz w:val="36"/>
        </w:rPr>
        <w:t>老城南文化旅游区板块特色指标年度分解表</w:t>
      </w:r>
    </w:p>
    <w:p>
      <w:pPr>
        <w:pStyle w:val="6"/>
        <w:keepNext w:val="0"/>
        <w:keepLines w:val="0"/>
        <w:pageBreakBefore w:val="0"/>
        <w:kinsoku/>
        <w:wordWrap/>
        <w:overflowPunct/>
        <w:topLinePunct w:val="0"/>
        <w:autoSpaceDE/>
        <w:autoSpaceDN/>
        <w:bidi w:val="0"/>
        <w:adjustRightInd/>
        <w:spacing w:beforeAutospacing="0" w:afterAutospacing="0" w:line="540" w:lineRule="exact"/>
        <w:ind w:firstLine="540" w:firstLineChars="150"/>
        <w:jc w:val="both"/>
        <w:rPr>
          <w:rFonts w:hint="eastAsia" w:ascii="方正仿宋_GBK" w:hAnsi="方正仿宋_GBK" w:eastAsia="方正仿宋_GBK" w:cs="方正仿宋_GBK"/>
          <w:color w:val="auto"/>
          <w:sz w:val="36"/>
        </w:rPr>
      </w:pPr>
    </w:p>
    <w:tbl>
      <w:tblPr>
        <w:tblStyle w:val="7"/>
        <w:tblW w:w="9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7"/>
        <w:gridCol w:w="1048"/>
        <w:gridCol w:w="1049"/>
        <w:gridCol w:w="1049"/>
        <w:gridCol w:w="1049"/>
        <w:gridCol w:w="1049"/>
        <w:gridCol w:w="1049"/>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447"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指标名称</w:t>
            </w:r>
          </w:p>
        </w:tc>
        <w:tc>
          <w:tcPr>
            <w:tcW w:w="1048"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2021年</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2022年</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2023年</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2024年</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2025年</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五年</w:t>
            </w:r>
          </w:p>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b/>
                <w:color w:val="auto"/>
                <w:sz w:val="24"/>
                <w:szCs w:val="22"/>
                <w:lang w:eastAsia="zh-CN"/>
              </w:rPr>
            </w:pPr>
            <w:r>
              <w:rPr>
                <w:rFonts w:hint="eastAsia" w:ascii="方正仿宋_GBK" w:hAnsi="方正仿宋_GBK" w:eastAsia="方正仿宋_GBK" w:cs="方正仿宋_GBK"/>
                <w:b/>
                <w:color w:val="auto"/>
                <w:sz w:val="24"/>
                <w:szCs w:val="22"/>
                <w:lang w:eastAsia="zh-CN"/>
              </w:rPr>
              <w:t>累计</w:t>
            </w:r>
          </w:p>
        </w:tc>
        <w:tc>
          <w:tcPr>
            <w:tcW w:w="104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center"/>
              <w:rPr>
                <w:rFonts w:ascii="方正仿宋_GBK" w:hAnsi="方正仿宋_GBK" w:eastAsia="方正仿宋_GBK" w:cs="方正仿宋_GBK"/>
                <w:b/>
                <w:color w:val="auto"/>
                <w:sz w:val="24"/>
                <w:szCs w:val="22"/>
              </w:rPr>
            </w:pPr>
            <w:r>
              <w:rPr>
                <w:rFonts w:hint="eastAsia" w:ascii="方正仿宋_GBK" w:hAnsi="方正仿宋_GBK" w:eastAsia="方正仿宋_GBK" w:cs="方正仿宋_GBK"/>
                <w:b/>
                <w:color w:val="auto"/>
                <w:sz w:val="24"/>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447" w:type="dxa"/>
            <w:vAlign w:val="center"/>
          </w:tcPr>
          <w:p>
            <w:pPr>
              <w:keepNext w:val="0"/>
              <w:keepLines w:val="0"/>
              <w:pageBreakBefore w:val="0"/>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重点项目（个）</w:t>
            </w:r>
          </w:p>
        </w:tc>
        <w:tc>
          <w:tcPr>
            <w:tcW w:w="1048"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16</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17</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12</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10</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14</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29</w:t>
            </w:r>
          </w:p>
        </w:tc>
        <w:tc>
          <w:tcPr>
            <w:tcW w:w="104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r>
              <w:rPr>
                <w:rFonts w:hint="eastAsia" w:ascii="方正仿宋_GBK" w:hAnsi="方正仿宋_GBK" w:eastAsia="方正仿宋_GBK" w:cs="方正仿宋_GBK"/>
                <w:color w:val="auto"/>
                <w:szCs w:val="22"/>
              </w:rPr>
              <w:t>含续建项目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447" w:type="dxa"/>
            <w:vAlign w:val="center"/>
          </w:tcPr>
          <w:p>
            <w:pPr>
              <w:keepNext w:val="0"/>
              <w:keepLines w:val="0"/>
              <w:pageBreakBefore w:val="0"/>
              <w:kinsoku/>
              <w:wordWrap/>
              <w:overflowPunct/>
              <w:topLinePunct w:val="0"/>
              <w:autoSpaceDE/>
              <w:autoSpaceDN/>
              <w:bidi w:val="0"/>
              <w:adjustRightInd/>
              <w:spacing w:line="540" w:lineRule="exact"/>
              <w:jc w:val="both"/>
              <w:rPr>
                <w:rFonts w:hint="eastAsia" w:ascii="方正仿宋_GBK" w:hAnsi="方正仿宋_GBK" w:eastAsia="方正仿宋_GBK" w:cs="方正仿宋_GBK"/>
                <w:b/>
                <w:color w:val="auto"/>
                <w:kern w:val="2"/>
                <w:sz w:val="21"/>
                <w:szCs w:val="22"/>
                <w:lang w:val="en-US" w:eastAsia="zh-CN" w:bidi="ar-SA"/>
              </w:rPr>
            </w:pPr>
            <w:r>
              <w:rPr>
                <w:rFonts w:hint="eastAsia" w:ascii="方正仿宋_GBK" w:hAnsi="方正仿宋_GBK" w:eastAsia="方正仿宋_GBK" w:cs="方正仿宋_GBK"/>
                <w:b/>
                <w:color w:val="auto"/>
                <w:szCs w:val="22"/>
              </w:rPr>
              <w:t>文化产业增加值</w:t>
            </w:r>
            <w:r>
              <w:rPr>
                <w:rFonts w:hint="eastAsia" w:ascii="方正仿宋_GBK" w:hAnsi="方正仿宋_GBK" w:eastAsia="方正仿宋_GBK" w:cs="方正仿宋_GBK"/>
                <w:b/>
                <w:color w:val="auto"/>
                <w:szCs w:val="22"/>
                <w:lang w:eastAsia="zh-CN"/>
              </w:rPr>
              <w:t>年度增幅</w:t>
            </w:r>
            <w:r>
              <w:rPr>
                <w:rFonts w:hint="eastAsia" w:ascii="方正仿宋_GBK" w:hAnsi="方正仿宋_GBK" w:eastAsia="方正仿宋_GBK" w:cs="方正仿宋_GBK"/>
                <w:b/>
                <w:color w:val="auto"/>
                <w:sz w:val="24"/>
                <w:szCs w:val="22"/>
              </w:rPr>
              <w:t>(%)</w:t>
            </w:r>
          </w:p>
        </w:tc>
        <w:tc>
          <w:tcPr>
            <w:tcW w:w="1048"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szCs w:val="21"/>
              </w:rPr>
              <w:t>1</w:t>
            </w:r>
            <w:r>
              <w:rPr>
                <w:rFonts w:hint="eastAsia" w:ascii="方正仿宋_GBK" w:hAnsi="方正仿宋_GBK" w:eastAsia="方正仿宋_GBK" w:cs="方正仿宋_GBK"/>
                <w:color w:val="auto"/>
                <w:szCs w:val="21"/>
                <w:lang w:val="en-US" w:eastAsia="zh-CN"/>
              </w:rPr>
              <w:t>5</w:t>
            </w:r>
            <w:r>
              <w:rPr>
                <w:rFonts w:hint="eastAsia" w:ascii="方正仿宋_GBK" w:hAnsi="方正仿宋_GBK" w:eastAsia="方正仿宋_GBK" w:cs="方正仿宋_GBK"/>
                <w:color w:val="auto"/>
                <w:szCs w:val="21"/>
              </w:rPr>
              <w:t>%</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szCs w:val="21"/>
              </w:rPr>
              <w:t>1</w:t>
            </w:r>
            <w:r>
              <w:rPr>
                <w:rFonts w:hint="eastAsia" w:ascii="方正仿宋_GBK" w:hAnsi="方正仿宋_GBK" w:eastAsia="方正仿宋_GBK" w:cs="方正仿宋_GBK"/>
                <w:color w:val="auto"/>
                <w:szCs w:val="21"/>
                <w:lang w:val="en-US" w:eastAsia="zh-CN"/>
              </w:rPr>
              <w:t>5</w:t>
            </w:r>
            <w:r>
              <w:rPr>
                <w:rFonts w:hint="eastAsia" w:ascii="方正仿宋_GBK" w:hAnsi="方正仿宋_GBK" w:eastAsia="方正仿宋_GBK" w:cs="方正仿宋_GBK"/>
                <w:color w:val="auto"/>
                <w:szCs w:val="21"/>
              </w:rPr>
              <w:t>%</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szCs w:val="21"/>
              </w:rPr>
              <w:t>1</w:t>
            </w:r>
            <w:r>
              <w:rPr>
                <w:rFonts w:hint="eastAsia" w:ascii="方正仿宋_GBK" w:hAnsi="方正仿宋_GBK" w:eastAsia="方正仿宋_GBK" w:cs="方正仿宋_GBK"/>
                <w:color w:val="auto"/>
                <w:szCs w:val="21"/>
                <w:lang w:val="en-US" w:eastAsia="zh-CN"/>
              </w:rPr>
              <w:t>5</w:t>
            </w:r>
            <w:r>
              <w:rPr>
                <w:rFonts w:hint="eastAsia" w:ascii="方正仿宋_GBK" w:hAnsi="方正仿宋_GBK" w:eastAsia="方正仿宋_GBK" w:cs="方正仿宋_GBK"/>
                <w:color w:val="auto"/>
                <w:szCs w:val="21"/>
              </w:rPr>
              <w:t>%</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szCs w:val="21"/>
              </w:rPr>
              <w:t>1</w:t>
            </w:r>
            <w:r>
              <w:rPr>
                <w:rFonts w:hint="eastAsia" w:ascii="方正仿宋_GBK" w:hAnsi="方正仿宋_GBK" w:eastAsia="方正仿宋_GBK" w:cs="方正仿宋_GBK"/>
                <w:color w:val="auto"/>
                <w:szCs w:val="21"/>
                <w:lang w:val="en-US" w:eastAsia="zh-CN"/>
              </w:rPr>
              <w:t>5</w:t>
            </w:r>
            <w:r>
              <w:rPr>
                <w:rFonts w:hint="eastAsia" w:ascii="方正仿宋_GBK" w:hAnsi="方正仿宋_GBK" w:eastAsia="方正仿宋_GBK" w:cs="方正仿宋_GBK"/>
                <w:color w:val="auto"/>
                <w:szCs w:val="21"/>
              </w:rPr>
              <w:t>%</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szCs w:val="21"/>
              </w:rPr>
              <w:t>1</w:t>
            </w:r>
            <w:r>
              <w:rPr>
                <w:rFonts w:hint="eastAsia" w:ascii="方正仿宋_GBK" w:hAnsi="方正仿宋_GBK" w:eastAsia="方正仿宋_GBK" w:cs="方正仿宋_GBK"/>
                <w:color w:val="auto"/>
                <w:szCs w:val="21"/>
                <w:lang w:val="en-US" w:eastAsia="zh-CN"/>
              </w:rPr>
              <w:t>5</w:t>
            </w:r>
            <w:r>
              <w:rPr>
                <w:rFonts w:hint="eastAsia" w:ascii="方正仿宋_GBK" w:hAnsi="方正仿宋_GBK" w:eastAsia="方正仿宋_GBK" w:cs="方正仿宋_GBK"/>
                <w:color w:val="auto"/>
                <w:szCs w:val="21"/>
              </w:rPr>
              <w:t>%</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kern w:val="2"/>
                <w:sz w:val="21"/>
                <w:szCs w:val="21"/>
                <w:lang w:val="en-US" w:eastAsia="zh-CN" w:bidi="ar-SA"/>
              </w:rPr>
            </w:pPr>
            <w:r>
              <w:rPr>
                <w:rFonts w:hint="eastAsia" w:ascii="方正仿宋_GBK" w:hAnsi="方正仿宋_GBK" w:eastAsia="方正仿宋_GBK" w:cs="方正仿宋_GBK"/>
                <w:color w:val="auto"/>
                <w:szCs w:val="21"/>
              </w:rPr>
              <w:t>-</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both"/>
              <w:rPr>
                <w:rFonts w:hint="eastAsia" w:ascii="方正仿宋_GBK" w:hAnsi="方正仿宋_GBK" w:eastAsia="方正仿宋_GBK" w:cs="方正仿宋_GBK"/>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447" w:type="dxa"/>
            <w:vAlign w:val="center"/>
          </w:tcPr>
          <w:p>
            <w:pPr>
              <w:keepNext w:val="0"/>
              <w:keepLines w:val="0"/>
              <w:pageBreakBefore w:val="0"/>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新增规模企业(个)</w:t>
            </w:r>
          </w:p>
        </w:tc>
        <w:tc>
          <w:tcPr>
            <w:tcW w:w="1048"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1"/>
                <w:lang w:eastAsia="zh-CN"/>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1"/>
                <w:lang w:eastAsia="zh-CN"/>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1"/>
                <w:lang w:eastAsia="zh-CN"/>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1"/>
                <w:lang w:eastAsia="zh-CN"/>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Cs w:val="21"/>
                <w:lang w:eastAsia="zh-CN"/>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40</w:t>
            </w:r>
          </w:p>
        </w:tc>
        <w:tc>
          <w:tcPr>
            <w:tcW w:w="104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447" w:type="dxa"/>
            <w:vAlign w:val="center"/>
          </w:tcPr>
          <w:p>
            <w:pPr>
              <w:keepNext w:val="0"/>
              <w:keepLines w:val="0"/>
              <w:pageBreakBefore w:val="0"/>
              <w:kinsoku/>
              <w:wordWrap/>
              <w:overflowPunct/>
              <w:topLinePunct w:val="0"/>
              <w:autoSpaceDE/>
              <w:autoSpaceDN/>
              <w:bidi w:val="0"/>
              <w:adjustRightInd/>
              <w:spacing w:line="540" w:lineRule="exact"/>
              <w:jc w:val="both"/>
              <w:rPr>
                <w:rFonts w:ascii="方正仿宋_GBK" w:hAnsi="方正仿宋_GBK" w:eastAsia="方正仿宋_GBK" w:cs="方正仿宋_GBK"/>
                <w:b/>
                <w:color w:val="auto"/>
                <w:szCs w:val="22"/>
              </w:rPr>
            </w:pPr>
            <w:r>
              <w:rPr>
                <w:rFonts w:hint="eastAsia" w:ascii="方正仿宋_GBK" w:hAnsi="方正仿宋_GBK" w:eastAsia="方正仿宋_GBK" w:cs="方正仿宋_GBK"/>
                <w:b/>
                <w:color w:val="auto"/>
                <w:szCs w:val="22"/>
              </w:rPr>
              <w:t>新增到账千万元以上大项目(个)</w:t>
            </w:r>
          </w:p>
        </w:tc>
        <w:tc>
          <w:tcPr>
            <w:tcW w:w="1048"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US" w:eastAsia="zh-CN"/>
              </w:rPr>
              <w:t>8</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US" w:eastAsia="zh-CN"/>
              </w:rPr>
              <w:t>40</w:t>
            </w:r>
          </w:p>
        </w:tc>
        <w:tc>
          <w:tcPr>
            <w:tcW w:w="104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447" w:type="dxa"/>
            <w:vAlign w:val="center"/>
          </w:tcPr>
          <w:p>
            <w:pPr>
              <w:keepNext w:val="0"/>
              <w:keepLines w:val="0"/>
              <w:pageBreakBefore w:val="0"/>
              <w:kinsoku/>
              <w:wordWrap/>
              <w:overflowPunct/>
              <w:topLinePunct w:val="0"/>
              <w:autoSpaceDE/>
              <w:autoSpaceDN/>
              <w:bidi w:val="0"/>
              <w:adjustRightInd/>
              <w:spacing w:line="540" w:lineRule="exact"/>
              <w:jc w:val="both"/>
              <w:rPr>
                <w:rFonts w:hint="default" w:ascii="方正仿宋_GBK" w:hAnsi="方正仿宋_GBK" w:eastAsia="方正仿宋_GBK" w:cs="方正仿宋_GBK"/>
                <w:b/>
                <w:color w:val="auto"/>
                <w:szCs w:val="22"/>
                <w:lang w:val="en-US" w:eastAsia="zh-CN"/>
              </w:rPr>
            </w:pPr>
            <w:r>
              <w:rPr>
                <w:rFonts w:hint="eastAsia" w:ascii="方正仿宋_GBK" w:hAnsi="方正仿宋_GBK" w:eastAsia="方正仿宋_GBK" w:cs="方正仿宋_GBK"/>
                <w:b/>
                <w:color w:val="auto"/>
                <w:szCs w:val="22"/>
                <w:lang w:eastAsia="zh-CN"/>
              </w:rPr>
              <w:t>新增区域性总部或龙头企业</w:t>
            </w:r>
            <w:r>
              <w:rPr>
                <w:rFonts w:hint="eastAsia" w:ascii="方正仿宋_GBK" w:hAnsi="方正仿宋_GBK" w:eastAsia="方正仿宋_GBK" w:cs="方正仿宋_GBK"/>
                <w:b/>
                <w:color w:val="auto"/>
                <w:szCs w:val="22"/>
              </w:rPr>
              <w:t>(个)</w:t>
            </w:r>
          </w:p>
        </w:tc>
        <w:tc>
          <w:tcPr>
            <w:tcW w:w="1048"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2</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2</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2</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2</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2</w:t>
            </w:r>
          </w:p>
        </w:tc>
        <w:tc>
          <w:tcPr>
            <w:tcW w:w="1049" w:type="dxa"/>
            <w:vAlign w:val="center"/>
          </w:tcPr>
          <w:p>
            <w:pPr>
              <w:keepNext w:val="0"/>
              <w:keepLines w:val="0"/>
              <w:pageBreakBefore w:val="0"/>
              <w:kinsoku/>
              <w:wordWrap/>
              <w:overflowPunct/>
              <w:topLinePunct w:val="0"/>
              <w:autoSpaceDE/>
              <w:autoSpaceDN/>
              <w:bidi w:val="0"/>
              <w:adjustRightInd/>
              <w:spacing w:line="540" w:lineRule="exact"/>
              <w:jc w:val="center"/>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10</w:t>
            </w:r>
          </w:p>
        </w:tc>
        <w:tc>
          <w:tcPr>
            <w:tcW w:w="1049" w:type="dxa"/>
            <w:vAlign w:val="center"/>
          </w:tcPr>
          <w:p>
            <w:pPr>
              <w:keepNext w:val="0"/>
              <w:keepLines w:val="0"/>
              <w:pageBreakBefore w:val="0"/>
              <w:tabs>
                <w:tab w:val="left" w:pos="1890"/>
              </w:tabs>
              <w:kinsoku/>
              <w:wordWrap/>
              <w:overflowPunct/>
              <w:topLinePunct w:val="0"/>
              <w:autoSpaceDE/>
              <w:autoSpaceDN/>
              <w:bidi w:val="0"/>
              <w:adjustRightInd/>
              <w:spacing w:line="540" w:lineRule="exact"/>
              <w:jc w:val="both"/>
              <w:rPr>
                <w:rFonts w:ascii="方正仿宋_GBK" w:hAnsi="方正仿宋_GBK" w:eastAsia="方正仿宋_GBK" w:cs="方正仿宋_GBK"/>
                <w:color w:val="auto"/>
                <w:szCs w:val="22"/>
              </w:rPr>
            </w:pPr>
          </w:p>
        </w:tc>
      </w:tr>
    </w:tbl>
    <w:p>
      <w:pPr>
        <w:pStyle w:val="6"/>
        <w:keepNext w:val="0"/>
        <w:keepLines w:val="0"/>
        <w:pageBreakBefore w:val="0"/>
        <w:kinsoku/>
        <w:wordWrap/>
        <w:overflowPunct/>
        <w:topLinePunct w:val="0"/>
        <w:autoSpaceDE/>
        <w:autoSpaceDN/>
        <w:bidi w:val="0"/>
        <w:adjustRightInd/>
        <w:spacing w:beforeAutospacing="0" w:afterAutospacing="0" w:line="540" w:lineRule="exact"/>
        <w:jc w:val="both"/>
        <w:rPr>
          <w:rFonts w:hint="eastAsia" w:ascii="方正仿宋_GBK" w:hAnsi="方正仿宋_GBK" w:eastAsia="方正仿宋_GBK" w:cs="方正仿宋_GBK"/>
          <w:color w:val="auto"/>
          <w:sz w:val="32"/>
        </w:rPr>
        <w:sectPr>
          <w:pgSz w:w="11906" w:h="16838"/>
          <w:pgMar w:top="1440" w:right="1800" w:bottom="1440" w:left="1800" w:header="851" w:footer="992" w:gutter="0"/>
          <w:cols w:space="425" w:num="1"/>
          <w:docGrid w:type="lines" w:linePitch="312" w:charSpace="0"/>
        </w:sectPr>
      </w:pPr>
    </w:p>
    <w:p>
      <w:pPr>
        <w:pStyle w:val="6"/>
        <w:keepNext w:val="0"/>
        <w:keepLines w:val="0"/>
        <w:pageBreakBefore w:val="0"/>
        <w:kinsoku/>
        <w:wordWrap/>
        <w:overflowPunct/>
        <w:topLinePunct w:val="0"/>
        <w:autoSpaceDE/>
        <w:autoSpaceDN/>
        <w:bidi w:val="0"/>
        <w:adjustRightInd/>
        <w:spacing w:beforeAutospacing="0" w:afterAutospacing="0" w:line="540" w:lineRule="exact"/>
        <w:jc w:val="both"/>
        <w:rPr>
          <w:rFonts w:hint="eastAsia" w:ascii="方正仿宋_GBK" w:hAnsi="方正仿宋_GBK" w:eastAsia="方正仿宋_GBK" w:cs="方正仿宋_GBK"/>
          <w:color w:val="auto"/>
          <w:sz w:val="32"/>
        </w:rPr>
      </w:pPr>
      <w:r>
        <w:rPr>
          <w:rFonts w:hint="eastAsia" w:ascii="方正仿宋_GBK" w:hAnsi="方正仿宋_GBK" w:eastAsia="方正仿宋_GBK" w:cs="方正仿宋_GBK"/>
          <w:color w:val="auto"/>
          <w:sz w:val="32"/>
        </w:rPr>
        <w:t>附件3：</w:t>
      </w:r>
    </w:p>
    <w:p>
      <w:pPr>
        <w:pStyle w:val="6"/>
        <w:keepNext w:val="0"/>
        <w:keepLines w:val="0"/>
        <w:pageBreakBefore w:val="0"/>
        <w:kinsoku/>
        <w:wordWrap/>
        <w:overflowPunct/>
        <w:topLinePunct w:val="0"/>
        <w:autoSpaceDE/>
        <w:autoSpaceDN/>
        <w:bidi w:val="0"/>
        <w:adjustRightInd/>
        <w:spacing w:beforeAutospacing="0" w:afterAutospacing="0" w:line="540" w:lineRule="exact"/>
        <w:jc w:val="both"/>
        <w:rPr>
          <w:rFonts w:hint="eastAsia" w:ascii="方正仿宋_GBK" w:hAnsi="方正仿宋_GBK" w:eastAsia="方正仿宋_GBK" w:cs="方正仿宋_GBK"/>
          <w:color w:val="auto"/>
          <w:sz w:val="32"/>
        </w:rPr>
      </w:pPr>
    </w:p>
    <w:p>
      <w:pPr>
        <w:keepNext w:val="0"/>
        <w:keepLines w:val="0"/>
        <w:pageBreakBefore w:val="0"/>
        <w:kinsoku/>
        <w:wordWrap/>
        <w:overflowPunct/>
        <w:topLinePunct w:val="0"/>
        <w:autoSpaceDE/>
        <w:autoSpaceDN/>
        <w:bidi w:val="0"/>
        <w:adjustRightInd/>
        <w:spacing w:line="540" w:lineRule="exact"/>
        <w:ind w:firstLine="720" w:firstLineChars="200"/>
        <w:jc w:val="both"/>
        <w:rPr>
          <w:rFonts w:hint="eastAsia" w:ascii="方正仿宋_GBK" w:hAnsi="方正仿宋_GBK" w:eastAsia="方正仿宋_GBK" w:cs="方正仿宋_GBK"/>
          <w:color w:val="auto"/>
          <w:sz w:val="36"/>
          <w:szCs w:val="36"/>
        </w:rPr>
      </w:pPr>
      <w:r>
        <w:rPr>
          <w:rFonts w:hint="eastAsia" w:ascii="方正仿宋_GBK" w:hAnsi="方正仿宋_GBK" w:eastAsia="方正仿宋_GBK" w:cs="方正仿宋_GBK"/>
          <w:color w:val="auto"/>
          <w:sz w:val="36"/>
          <w:szCs w:val="36"/>
        </w:rPr>
        <w:t>老城南</w:t>
      </w:r>
      <w:r>
        <w:rPr>
          <w:rFonts w:hint="eastAsia" w:ascii="方正仿宋_GBK" w:hAnsi="方正仿宋_GBK" w:eastAsia="方正仿宋_GBK" w:cs="方正仿宋_GBK"/>
          <w:color w:val="auto"/>
          <w:sz w:val="36"/>
          <w:szCs w:val="36"/>
          <w:lang w:eastAsia="zh-CN"/>
        </w:rPr>
        <w:t>“十四五”</w:t>
      </w:r>
      <w:r>
        <w:rPr>
          <w:rFonts w:hint="eastAsia" w:ascii="方正仿宋_GBK" w:hAnsi="方正仿宋_GBK" w:eastAsia="方正仿宋_GBK" w:cs="方正仿宋_GBK"/>
          <w:color w:val="auto"/>
          <w:sz w:val="36"/>
          <w:szCs w:val="36"/>
        </w:rPr>
        <w:t>文旅</w:t>
      </w:r>
      <w:r>
        <w:rPr>
          <w:rFonts w:hint="eastAsia" w:ascii="方正仿宋_GBK" w:hAnsi="方正仿宋_GBK" w:eastAsia="方正仿宋_GBK" w:cs="方正仿宋_GBK"/>
          <w:color w:val="auto"/>
          <w:sz w:val="36"/>
          <w:szCs w:val="36"/>
          <w:lang w:eastAsia="zh-CN"/>
        </w:rPr>
        <w:t>商</w:t>
      </w:r>
      <w:r>
        <w:rPr>
          <w:rFonts w:hint="eastAsia" w:ascii="方正仿宋_GBK" w:hAnsi="方正仿宋_GBK" w:eastAsia="方正仿宋_GBK" w:cs="方正仿宋_GBK"/>
          <w:color w:val="auto"/>
          <w:sz w:val="36"/>
          <w:szCs w:val="36"/>
        </w:rPr>
        <w:t>融合发展重点项目表</w:t>
      </w:r>
    </w:p>
    <w:tbl>
      <w:tblPr>
        <w:tblStyle w:val="7"/>
        <w:tblpPr w:leftFromText="180" w:rightFromText="180" w:vertAnchor="text" w:horzAnchor="page" w:tblpX="1182" w:tblpY="488"/>
        <w:tblOverlap w:val="never"/>
        <w:tblW w:w="10110" w:type="dxa"/>
        <w:tblInd w:w="0" w:type="dxa"/>
        <w:tblLayout w:type="autofit"/>
        <w:tblCellMar>
          <w:top w:w="0" w:type="dxa"/>
          <w:left w:w="0" w:type="dxa"/>
          <w:bottom w:w="0" w:type="dxa"/>
          <w:right w:w="0" w:type="dxa"/>
        </w:tblCellMar>
      </w:tblPr>
      <w:tblGrid>
        <w:gridCol w:w="698"/>
        <w:gridCol w:w="1456"/>
        <w:gridCol w:w="1988"/>
        <w:gridCol w:w="4860"/>
        <w:gridCol w:w="1108"/>
      </w:tblGrid>
      <w:tr>
        <w:tblPrEx>
          <w:tblCellMar>
            <w:top w:w="0" w:type="dxa"/>
            <w:left w:w="0" w:type="dxa"/>
            <w:bottom w:w="0" w:type="dxa"/>
            <w:right w:w="0" w:type="dxa"/>
          </w:tblCellMar>
        </w:tblPrEx>
        <w:trPr>
          <w:trHeight w:val="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b/>
                <w:color w:val="auto"/>
                <w:sz w:val="22"/>
                <w:szCs w:val="22"/>
              </w:rPr>
            </w:pPr>
            <w:r>
              <w:rPr>
                <w:rFonts w:hint="eastAsia" w:ascii="方正仿宋_GBK" w:hAnsi="方正仿宋_GBK" w:eastAsia="方正仿宋_GBK" w:cs="方正仿宋_GBK"/>
                <w:b/>
                <w:color w:val="auto"/>
                <w:kern w:val="0"/>
                <w:sz w:val="22"/>
                <w:szCs w:val="22"/>
              </w:rPr>
              <w:t>序号</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b/>
                <w:color w:val="auto"/>
                <w:sz w:val="22"/>
                <w:szCs w:val="22"/>
              </w:rPr>
            </w:pPr>
            <w:r>
              <w:rPr>
                <w:rFonts w:hint="eastAsia" w:ascii="方正仿宋_GBK" w:hAnsi="方正仿宋_GBK" w:eastAsia="方正仿宋_GBK" w:cs="方正仿宋_GBK"/>
                <w:b/>
                <w:color w:val="auto"/>
                <w:kern w:val="0"/>
                <w:sz w:val="22"/>
                <w:szCs w:val="22"/>
              </w:rPr>
              <w:t>项目名称</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b/>
                <w:color w:val="auto"/>
                <w:sz w:val="22"/>
                <w:szCs w:val="22"/>
              </w:rPr>
            </w:pPr>
            <w:r>
              <w:rPr>
                <w:rFonts w:hint="eastAsia" w:ascii="方正仿宋_GBK" w:hAnsi="方正仿宋_GBK" w:eastAsia="方正仿宋_GBK" w:cs="方正仿宋_GBK"/>
                <w:b/>
                <w:color w:val="auto"/>
                <w:kern w:val="0"/>
                <w:sz w:val="22"/>
                <w:szCs w:val="22"/>
              </w:rPr>
              <w:t>建设地点</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b/>
                <w:color w:val="auto"/>
                <w:sz w:val="22"/>
                <w:szCs w:val="22"/>
              </w:rPr>
            </w:pPr>
            <w:r>
              <w:rPr>
                <w:rFonts w:hint="eastAsia" w:ascii="方正仿宋_GBK" w:hAnsi="方正仿宋_GBK" w:eastAsia="方正仿宋_GBK" w:cs="方正仿宋_GBK"/>
                <w:b/>
                <w:color w:val="auto"/>
                <w:kern w:val="0"/>
                <w:sz w:val="22"/>
                <w:szCs w:val="22"/>
              </w:rPr>
              <w:t>建设内容及规模</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b/>
                <w:color w:val="auto"/>
                <w:sz w:val="22"/>
                <w:szCs w:val="22"/>
              </w:rPr>
            </w:pPr>
            <w:r>
              <w:rPr>
                <w:rFonts w:hint="eastAsia" w:ascii="方正仿宋_GBK" w:hAnsi="方正仿宋_GBK" w:eastAsia="方正仿宋_GBK" w:cs="方正仿宋_GBK"/>
                <w:b/>
                <w:color w:val="auto"/>
                <w:kern w:val="0"/>
                <w:sz w:val="22"/>
                <w:szCs w:val="22"/>
              </w:rPr>
              <w:t>建设起止年限</w:t>
            </w:r>
          </w:p>
        </w:tc>
      </w:tr>
      <w:tr>
        <w:tblPrEx>
          <w:tblCellMar>
            <w:top w:w="0" w:type="dxa"/>
            <w:left w:w="0" w:type="dxa"/>
            <w:bottom w:w="0" w:type="dxa"/>
            <w:right w:w="0" w:type="dxa"/>
          </w:tblCellMar>
        </w:tblPrEx>
        <w:trPr>
          <w:trHeight w:val="2100" w:hRule="atLeast"/>
        </w:trPr>
        <w:tc>
          <w:tcPr>
            <w:tcW w:w="698"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南京名人馆及配套（大报恩寺遗址公园二期黄泥塘地块）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东至正学路，西至雨花路，南至应天大街，北至大报恩寺遗址公园</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3.8万平方米，建筑面积约5.6万平方米（含文化区、遗址区、配套区）。拟建南京名人馆、遗址展示馆、金陵刻经新馆以及停车场等配套项目。其中南京名人馆核心展陈面积约1万平米，主要功能包括数字化场景体验区、沉浸式剧场、南轩书院、国学体验和服务配套，打造南京城市历史文化数字体验中心</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hint="eastAsia" w:ascii="方正仿宋_GBK" w:hAnsi="方正仿宋_GBK" w:eastAsia="方正仿宋_GBK" w:cs="方正仿宋_GBK"/>
                <w:color w:val="auto"/>
                <w:kern w:val="0"/>
                <w:sz w:val="22"/>
                <w:szCs w:val="22"/>
                <w:lang w:eastAsia="zh-CN"/>
              </w:rPr>
            </w:pPr>
            <w:r>
              <w:rPr>
                <w:rFonts w:hint="eastAsia" w:ascii="方正仿宋_GBK" w:hAnsi="方正仿宋_GBK" w:eastAsia="方正仿宋_GBK" w:cs="方正仿宋_GBK"/>
                <w:color w:val="auto"/>
                <w:kern w:val="0"/>
                <w:sz w:val="22"/>
                <w:szCs w:val="22"/>
              </w:rPr>
              <w:t>2021-2023</w:t>
            </w:r>
          </w:p>
          <w:p>
            <w:pPr>
              <w:pStyle w:val="2"/>
              <w:rPr>
                <w:rFonts w:hint="eastAsia"/>
                <w:lang w:eastAsia="zh-CN"/>
              </w:rPr>
            </w:pPr>
          </w:p>
        </w:tc>
      </w:tr>
      <w:tr>
        <w:tblPrEx>
          <w:tblCellMar>
            <w:top w:w="0" w:type="dxa"/>
            <w:left w:w="0" w:type="dxa"/>
            <w:bottom w:w="0" w:type="dxa"/>
            <w:right w:w="0" w:type="dxa"/>
          </w:tblCellMar>
        </w:tblPrEx>
        <w:trPr>
          <w:trHeight w:val="18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双塘园文化休闲街区（原门东东延）</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东至秦淮外国语学校、转龙巷，西至双塘园，南至边营，北至剪子巷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2.4万平方米，拟建面积约4.2万平方米（含地下）。拟对原有建筑进行整治，对街巷界面和区域环境进行整治，结合地块条件对基础设施配套进行改造和完善。引进符合时尚潮流的新业态，打造传统文化与时尚潮流相融合的街区</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2021-2023</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3</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★周处读书台“山水人文苑”</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东至江宁路，西至转龙车小区，南至老虎头小区，北至现状多层住宅楼</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占地面积约2万平方米。拟对街巷界面和区域环境进行整治，结合地块条件对基础设施配套进行改造和完善。以历史文化为脉络，对原有建筑物进行整治，打造自然景观与人文景观相融合的城市游园</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2021-2024</w:t>
            </w:r>
          </w:p>
        </w:tc>
      </w:tr>
      <w:tr>
        <w:tblPrEx>
          <w:tblCellMar>
            <w:top w:w="0" w:type="dxa"/>
            <w:left w:w="0" w:type="dxa"/>
            <w:bottom w:w="0" w:type="dxa"/>
            <w:right w:w="0" w:type="dxa"/>
          </w:tblCellMar>
        </w:tblPrEx>
        <w:trPr>
          <w:trHeight w:val="21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4</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★西五华里休闲文化街区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东至甘露桥，西至西水关，自东向西分别有甘露桥、新桥、上浮桥、仙鹤桥、施府桥（规划）、下浮桥</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5.69万平方米，地上建筑面积约4.59万平方米。地块用地性质为商业用地、商办混合用地和娱乐康体用地，拟建商业、商办、娱乐康体及广场。打造传承延续千年的文化内涵，未来气息浓郁的现代产业示范区</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2021-2024</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5</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通济门遗址文物保护与展示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东至龙蟠路，西至秦淮河，北至大中桥，南至东城水岸</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建设通济门遗址公园，实施文物保护与展示，打造节点景观</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2021-2022</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6</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西街城市记忆文旅街区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东至雨花路，西至中山南路，南至应天大街，北至明城墙</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占地面积约14.82万平方米。北区保护古越城遗址，建设遗址公园，南区重点建设文化旅游展示体验和文旅产业项目。结合考古遗址的保护利用与展示，打造文旅融合的城市客厅</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2025前</w:t>
            </w:r>
          </w:p>
        </w:tc>
      </w:tr>
      <w:tr>
        <w:tblPrEx>
          <w:tblCellMar>
            <w:top w:w="0" w:type="dxa"/>
            <w:left w:w="0" w:type="dxa"/>
            <w:bottom w:w="0" w:type="dxa"/>
            <w:right w:w="0" w:type="dxa"/>
          </w:tblCellMar>
        </w:tblPrEx>
        <w:trPr>
          <w:trHeight w:val="18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7</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饮虹园片区城市更新</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东至小心桥东街，西至水佐营，南至马道街，北至长乐路</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3.71万平方米。拟按照城市更新方式对饮虹园片区实施更新改造，对片区进行加固改造、立面整治、文保修缮、空间重塑、环境提升、道路改造和市政配套基础设施完善等，营造尺度适宜的环境友好型社区。（以规划部门最终确认为准）</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2022-</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8</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小心桥东街南地块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东至小心桥东街，西至华静家园小区，南至剪子巷，北至马道街</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占地面积约1.1万平方米，容积率1.2，建筑高度≤12米。拟建住宅项目</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2021-</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9</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养虎仓地块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东至金蔷花园，西至晨光集团，南至开源小区，北至雨花村</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占地面积约0.98万平方米，容积率2.4，建筑高度≤24米。拟建住宅，幼儿园</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2022-</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秦淮体育中心</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东至平江府路，西至琵琶街，南至乌衣巷，北至小石坝街</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栋建筑，共五层，总建筑面积12100平方米，另有地下一层，面积3087平方米。拟对体育中心进行整体出新改造其中涉及消防维修改造、电梯更换、公共区域出新、增设内外部导视标志等，提升秦淮体育中心整体形象</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2021-2022</w:t>
            </w:r>
          </w:p>
        </w:tc>
      </w:tr>
      <w:tr>
        <w:tblPrEx>
          <w:tblCellMar>
            <w:top w:w="0" w:type="dxa"/>
            <w:left w:w="0" w:type="dxa"/>
            <w:bottom w:w="0" w:type="dxa"/>
            <w:right w:w="0" w:type="dxa"/>
          </w:tblCellMar>
        </w:tblPrEx>
        <w:trPr>
          <w:trHeight w:val="21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11</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★西湖里·创艺街坊</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东至箍桶巷，西至大油坊巷，南抵马道街，北至小西湖路，小西湖小学</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4.69万平方米。拟拆除违章建筑和影响整体历史风貌的建筑，对街巷界面和区域环境进行整治，对地块内的历史建筑、风貌建筑和其他建筑修缮、整治、改造，结合地块条件对雨污水、电力电信等管道及道路、环境绿化等基础设施配套进行改造和完善，打造门东片区商、旅、文融合发展的文化创意街区</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2018-2022</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12</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★英迪格酒店及文旅体验街区（原科举博物馆二期）</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东至金陵东路，西至金陵西路，南至明远楼，北至建康路</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占地面积约2.5万平方米，建筑面积约10万平方米。拟保护历史文物，新建科举博物馆中轴线，科举文化旅游配套设施建设</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2019-2022</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13</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★越城天地文化旅游街区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东至中山南路，西至凤台路，南至应天大街，北至秦准河</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占地面积约34.8万平方米，建筑面积约22万平方米。拟建商业办公、高级酒店及其它设施的综合体。计划打造集酒店、文化、旅游、办公于一体的低密度开放街区的商业综合体</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2017-2023</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14</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南京城墙博物馆改扩建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东至雅居乐，西至中华门瓮城，南至新民坊路，北至膺福街</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占地面积约0.69万平方米，新建建筑面积约1万平方米，拟对南京城墙博物馆改扩建。打造中国最大的城墙专题博物馆</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2018-2021</w:t>
            </w:r>
          </w:p>
        </w:tc>
      </w:tr>
      <w:tr>
        <w:tblPrEx>
          <w:tblCellMar>
            <w:top w:w="0" w:type="dxa"/>
            <w:left w:w="0" w:type="dxa"/>
            <w:bottom w:w="0" w:type="dxa"/>
            <w:right w:w="0" w:type="dxa"/>
          </w:tblCellMar>
        </w:tblPrEx>
        <w:trPr>
          <w:trHeight w:val="27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15</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南捕厅休闲文化街区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东至大板巷、绒庄街，西至鼎新路，南至升州路，北至千章巷、泥马巷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11.93万平方米，建筑面积约18.2万平方米，包括地上建筑约13.5万平方米，地下约4.7万平方米。拟保护、整治与建设保留建筑的，建设基础设施。以保护修复以“甘熙故居”为主的传统民居街区及其风貌特色为主，将改造历史建筑遗存与民俗文化展示（民俗博物馆）相结合。通过对街区的改造，形成集文化、历史、旅游一体的传统风貌文化旅游景区</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2006-2022</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16</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★南京万象天地（原中山乐都汇）</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东至中山南路，西至颜料坊，南至集庆路，北至洋珠巷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占地面积4.35万平方米，建筑面积约14万平方米，其中：地上建筑面积约7万平方米，地下建筑面积约7万平方米。拟建商业项目。打造引领南京全新生活的国际时尚平台</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2017-2022</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17</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泰禾商业广场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东至龙蟠南路，西至南城美境小区，南至永乐路、卡子门广场，北至路子铺小区</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占地面积约2.083万平方米，建筑面积约12.8万平方米，其中地上建筑面积约8万平方米（21层）。拟建商业办公及酒店式公寓。延续泰禾的高端精品定位，打造成以公寓、街区商业等产品为主的高端商业综合体项目</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2017-2022</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18</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范家塘商住楼</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东至莫愁路，西至西止马营，南至韩家苑小区，北至建邺路</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地块A占地面积约0.3万平方米，地上建筑面积约0.54万平方米；拟建商住混合项目。地块B占地面积约1.23万平方米，地上建筑面积约2.15万平方米；拟建住宅项目。打造以高端住宅配套商业为核心的城中标杆综合体项目</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2020-2022</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19</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秦淮戏院里</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贡院街80号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对科举博物馆商业配套楼进行装修改造，实施内容含室内部分改造，室内装饰，水电、消防、暖通、机电、弱电改造，外立面入口通道及门</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2020-2021</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剪子巷156号地块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东至南京市秦淮区外国语学校、西至教师公寓、南至教师公寓、北至剪子巷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由5幢危旧厂房组成，总建筑面积5329.6㎡</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 w:val="22"/>
                <w:szCs w:val="22"/>
                <w:lang w:eastAsia="zh-CN"/>
              </w:rPr>
            </w:pPr>
            <w:r>
              <w:rPr>
                <w:rFonts w:hint="eastAsia" w:ascii="方正仿宋_GBK" w:hAnsi="方正仿宋_GBK" w:eastAsia="方正仿宋_GBK" w:cs="方正仿宋_GBK"/>
                <w:color w:val="auto"/>
                <w:sz w:val="22"/>
                <w:szCs w:val="22"/>
                <w:lang w:eastAsia="zh-CN"/>
              </w:rPr>
              <w:t>前期</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21</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曙光产业园</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东至中山南路、西至钓鱼台123巷、南至中山南路、北至钓鱼台</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地块用地总面积9176㎡，土地性质为商业用地</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 w:val="22"/>
                <w:szCs w:val="22"/>
                <w:lang w:eastAsia="zh-CN"/>
              </w:rPr>
            </w:pPr>
            <w:r>
              <w:rPr>
                <w:rFonts w:hint="eastAsia" w:ascii="方正仿宋_GBK" w:hAnsi="方正仿宋_GBK" w:eastAsia="方正仿宋_GBK" w:cs="方正仿宋_GBK"/>
                <w:color w:val="auto"/>
                <w:sz w:val="22"/>
                <w:szCs w:val="22"/>
                <w:lang w:eastAsia="zh-CN"/>
              </w:rPr>
              <w:t>前期</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22</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世界之窗茶艺园地块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东至钓鱼台62号小区、西至中山南路、南至饮马巷、北至钓鱼台</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占地面积4800㎡，建筑面积6300㎡</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hint="eastAsia" w:ascii="方正仿宋_GBK" w:hAnsi="方正仿宋_GBK" w:eastAsia="方正仿宋_GBK" w:cs="方正仿宋_GBK"/>
                <w:color w:val="auto"/>
                <w:sz w:val="22"/>
                <w:szCs w:val="22"/>
                <w:lang w:eastAsia="zh-CN"/>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6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23</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夫子庙大市场改造</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平江府路188号</w:t>
            </w:r>
          </w:p>
        </w:tc>
        <w:tc>
          <w:tcPr>
            <w:tcW w:w="48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装修改造</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24</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钓鱼台地块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东至中华路，西至中山南路，南至西干长巷，北至璇子巷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以规划部门最终确认为准</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24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25</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荷花塘地块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东至水斋庵、磨盘街、中山南路一线，西至鸣羊街，南至城墙，北至殷高巷、荷花塘、南华汽车销售公司南边界一线</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占地面积约12.56万平方米。拟对地块内进行人口疏散、基础设施改造、房屋修缮整治、街巷界面整理</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26</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宁芜铁路沿线片区改造</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东至雨花路，西至秦淮雨花台区界，南至宁芜铁路，北至应天大街</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占地面积5万平方米，房屋面积4.1万平方米，包括住宅面积1.45万平方米，户数249户，非住宅2.65万平方米，户数10户</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27</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安品街片区</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东至鼎新路，西至登隆巷，南至升州路，北至安品街变电站</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占地面积约为3.35万平方米，拟建商住、二类住宅、街旁绿地、初中、幼托、社区中心、行政办公项目（以规划部门最终确认为准）</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28</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殷高巷刘芝田故居</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东到孝顺里，西至西侧院落一层建筑西山墙，南至鸣羊里，北至殷高巷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环境整治，地块利用方式另行研究</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12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29</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仓巷西二地块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东至仓巷，西至莫愁路，南至升州路，北至木屐巷</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环境整治，地块利用方式另行研究</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r>
        <w:tblPrEx>
          <w:tblCellMar>
            <w:top w:w="0" w:type="dxa"/>
            <w:left w:w="0" w:type="dxa"/>
            <w:bottom w:w="0" w:type="dxa"/>
            <w:right w:w="0" w:type="dxa"/>
          </w:tblCellMar>
        </w:tblPrEx>
        <w:trPr>
          <w:trHeight w:val="1500" w:hRule="atLeast"/>
        </w:trPr>
        <w:tc>
          <w:tcPr>
            <w:tcW w:w="69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center"/>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30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胡家巷12号地块</w:t>
            </w:r>
          </w:p>
        </w:tc>
        <w:tc>
          <w:tcPr>
            <w:tcW w:w="1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东至润德里9号，西至水平方工地，南至建康路115号，北至王府东苑</w:t>
            </w:r>
          </w:p>
        </w:tc>
        <w:tc>
          <w:tcPr>
            <w:tcW w:w="4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540" w:lineRule="exact"/>
              <w:jc w:val="both"/>
              <w:textAlignment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kern w:val="0"/>
                <w:sz w:val="22"/>
                <w:szCs w:val="22"/>
              </w:rPr>
              <w:t>消险改造，地块利用方式另行研究</w:t>
            </w:r>
          </w:p>
        </w:tc>
        <w:tc>
          <w:tcPr>
            <w:tcW w:w="11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pacing w:line="540" w:lineRule="exact"/>
              <w:jc w:val="center"/>
              <w:rPr>
                <w:rFonts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22"/>
                <w:szCs w:val="22"/>
                <w:lang w:eastAsia="zh-CN"/>
              </w:rPr>
              <w:t>储备</w:t>
            </w:r>
          </w:p>
        </w:tc>
      </w:tr>
    </w:tbl>
    <w:p>
      <w:pPr>
        <w:keepNext w:val="0"/>
        <w:keepLines w:val="0"/>
        <w:pageBreakBefore w:val="0"/>
        <w:kinsoku/>
        <w:wordWrap/>
        <w:overflowPunct/>
        <w:topLinePunct w:val="0"/>
        <w:autoSpaceDE/>
        <w:autoSpaceDN/>
        <w:bidi w:val="0"/>
        <w:adjustRightInd/>
        <w:spacing w:line="240" w:lineRule="auto"/>
        <w:jc w:val="both"/>
        <w:rPr>
          <w:color w:val="auto"/>
          <w:sz w:val="32"/>
          <w:szCs w:val="32"/>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A83B433-D3FB-4AA0-BEB3-45FED29920A9}"/>
  </w:font>
  <w:font w:name="Arial">
    <w:panose1 w:val="020B0604020202020204"/>
    <w:charset w:val="01"/>
    <w:family w:val="swiss"/>
    <w:pitch w:val="default"/>
    <w:sig w:usb0="E0002EFF" w:usb1="C000785B" w:usb2="00000009" w:usb3="00000000" w:csb0="400001FF" w:csb1="FFFF0000"/>
    <w:embedRegular r:id="rId2" w:fontKey="{4A6100A1-4808-4311-84FC-047F1AD1FDC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D5194745-B995-4E6B-9B9B-B53214A496B1}"/>
  </w:font>
  <w:font w:name="Symbol">
    <w:panose1 w:val="05050102010706020507"/>
    <w:charset w:val="02"/>
    <w:family w:val="roman"/>
    <w:pitch w:val="default"/>
    <w:sig w:usb0="00000000" w:usb1="00000000" w:usb2="00000000" w:usb3="00000000" w:csb0="80000000" w:csb1="00000000"/>
    <w:embedRegular r:id="rId4" w:fontKey="{68631EC9-FCEA-4F94-9E26-EBF936A53453}"/>
  </w:font>
  <w:font w:name="Calibri">
    <w:panose1 w:val="020F0502020204030204"/>
    <w:charset w:val="00"/>
    <w:family w:val="swiss"/>
    <w:pitch w:val="default"/>
    <w:sig w:usb0="E4002EFF" w:usb1="C000247B" w:usb2="00000009" w:usb3="00000000" w:csb0="200001FF" w:csb1="00000000"/>
    <w:embedRegular r:id="rId5" w:fontKey="{B1494E7F-10D8-47A4-B9FD-A9881AB1E9A1}"/>
  </w:font>
  <w:font w:name="Tahoma">
    <w:panose1 w:val="020B0604030504040204"/>
    <w:charset w:val="00"/>
    <w:family w:val="swiss"/>
    <w:pitch w:val="default"/>
    <w:sig w:usb0="E1002EFF" w:usb1="C000605B" w:usb2="00000029" w:usb3="00000000" w:csb0="200101FF" w:csb1="20280000"/>
    <w:embedRegular r:id="rId6" w:fontKey="{EC072CCC-8911-4D3D-B2B6-8E65813373FE}"/>
  </w:font>
  <w:font w:name="方正楷体_GBK">
    <w:panose1 w:val="02000000000000000000"/>
    <w:charset w:val="86"/>
    <w:family w:val="script"/>
    <w:pitch w:val="default"/>
    <w:sig w:usb0="A00002BF" w:usb1="38CF7CFA" w:usb2="00082016" w:usb3="00000000" w:csb0="00040001" w:csb1="00000000"/>
    <w:embedRegular r:id="rId7" w:fontKey="{BCCA2449-DB46-4F08-8590-9DF792CFEDA7}"/>
  </w:font>
  <w:font w:name="楷体_GB2312">
    <w:altName w:val="楷体"/>
    <w:panose1 w:val="00000000000000000000"/>
    <w:charset w:val="86"/>
    <w:family w:val="auto"/>
    <w:pitch w:val="default"/>
    <w:sig w:usb0="00000000" w:usb1="00000000" w:usb2="00000000" w:usb3="00000000" w:csb0="00000000" w:csb1="00000000"/>
    <w:embedRegular r:id="rId8" w:fontKey="{90373E3D-F262-47C2-A60B-70B81801EDD9}"/>
  </w:font>
  <w:font w:name="方正小标宋_GBK">
    <w:panose1 w:val="02000000000000000000"/>
    <w:charset w:val="86"/>
    <w:family w:val="script"/>
    <w:pitch w:val="default"/>
    <w:sig w:usb0="A00002BF" w:usb1="38CF7CFA" w:usb2="00082016" w:usb3="00000000" w:csb0="00040001" w:csb1="00000000"/>
    <w:embedRegular r:id="rId9" w:fontKey="{8A06CB1E-FCAD-48DB-B555-8BA48DDFE030}"/>
  </w:font>
  <w:font w:name="方正仿宋_GBK">
    <w:panose1 w:val="02000000000000000000"/>
    <w:charset w:val="86"/>
    <w:family w:val="script"/>
    <w:pitch w:val="default"/>
    <w:sig w:usb0="A00002BF" w:usb1="38CF7CFA" w:usb2="00082016" w:usb3="00000000" w:csb0="00040001" w:csb1="00000000"/>
    <w:embedRegular r:id="rId10" w:fontKey="{FEDCE353-4E82-4EE6-9508-8A8CAC20ABA0}"/>
  </w:font>
  <w:font w:name="仿宋">
    <w:panose1 w:val="02010609060101010101"/>
    <w:charset w:val="86"/>
    <w:family w:val="modern"/>
    <w:pitch w:val="default"/>
    <w:sig w:usb0="800002BF" w:usb1="38CF7CFA" w:usb2="00000016" w:usb3="00000000" w:csb0="00040001" w:csb1="00000000"/>
    <w:embedRegular r:id="rId11" w:fontKey="{D7B9C389-C5A9-48FB-95FB-F8FFC623EBE4}"/>
  </w:font>
  <w:font w:name="方正黑体_GBK">
    <w:panose1 w:val="02000000000000000000"/>
    <w:charset w:val="86"/>
    <w:family w:val="script"/>
    <w:pitch w:val="default"/>
    <w:sig w:usb0="A00002BF" w:usb1="38CF7CFA" w:usb2="00082016" w:usb3="00000000" w:csb0="00040001" w:csb1="00000000"/>
    <w:embedRegular r:id="rId12" w:fontKey="{5F76FF38-AF9C-4A5D-A677-77CCB54ACA61}"/>
  </w:font>
  <w:font w:name="华文仿宋">
    <w:panose1 w:val="02010600040101010101"/>
    <w:charset w:val="86"/>
    <w:family w:val="auto"/>
    <w:pitch w:val="default"/>
    <w:sig w:usb0="00000287" w:usb1="080F0000" w:usb2="00000000" w:usb3="00000000" w:csb0="0004009F" w:csb1="DFD70000"/>
    <w:embedRegular r:id="rId13" w:fontKey="{BD39B8DF-9422-4069-BEB2-04FE3ACA78B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luSI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GW5IjgCAABvBAAADgAAAAAAAAABACAAAAAfAQAAZHJzL2Uyb0RvYy54&#10;bWxQSwUGAAAAAAYABgBZAQAAy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C54B0"/>
    <w:multiLevelType w:val="singleLevel"/>
    <w:tmpl w:val="B03C54B0"/>
    <w:lvl w:ilvl="0" w:tentative="0">
      <w:start w:val="4"/>
      <w:numFmt w:val="decimal"/>
      <w:suff w:val="nothing"/>
      <w:lvlText w:val="%1、"/>
      <w:lvlJc w:val="left"/>
    </w:lvl>
  </w:abstractNum>
  <w:abstractNum w:abstractNumId="1">
    <w:nsid w:val="69FF571D"/>
    <w:multiLevelType w:val="singleLevel"/>
    <w:tmpl w:val="69FF571D"/>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ZmNlYWE2MjgwNDAwMTZjNWY2YWE5OGY1NzA0ZTEifQ=="/>
  </w:docVars>
  <w:rsids>
    <w:rsidRoot w:val="004C20CA"/>
    <w:rsid w:val="00005FAF"/>
    <w:rsid w:val="000F1C73"/>
    <w:rsid w:val="001A5E16"/>
    <w:rsid w:val="00201110"/>
    <w:rsid w:val="002118F2"/>
    <w:rsid w:val="00236CBF"/>
    <w:rsid w:val="002B22E0"/>
    <w:rsid w:val="002D2C3C"/>
    <w:rsid w:val="002F0089"/>
    <w:rsid w:val="002F7B76"/>
    <w:rsid w:val="003003B5"/>
    <w:rsid w:val="003A67DB"/>
    <w:rsid w:val="003B067A"/>
    <w:rsid w:val="003F2BE7"/>
    <w:rsid w:val="0043532A"/>
    <w:rsid w:val="00443064"/>
    <w:rsid w:val="004B0FA3"/>
    <w:rsid w:val="004C20CA"/>
    <w:rsid w:val="004E18CA"/>
    <w:rsid w:val="005040C7"/>
    <w:rsid w:val="005115A0"/>
    <w:rsid w:val="005153E0"/>
    <w:rsid w:val="005F5D6B"/>
    <w:rsid w:val="00783554"/>
    <w:rsid w:val="0082596A"/>
    <w:rsid w:val="00861619"/>
    <w:rsid w:val="008C3526"/>
    <w:rsid w:val="008F5665"/>
    <w:rsid w:val="009050DB"/>
    <w:rsid w:val="009B2121"/>
    <w:rsid w:val="009D5C4A"/>
    <w:rsid w:val="00A71C58"/>
    <w:rsid w:val="00A96AA5"/>
    <w:rsid w:val="00AC15BE"/>
    <w:rsid w:val="00AC2C0C"/>
    <w:rsid w:val="00B14E72"/>
    <w:rsid w:val="00B17C23"/>
    <w:rsid w:val="00B5507B"/>
    <w:rsid w:val="00B73557"/>
    <w:rsid w:val="00BD172D"/>
    <w:rsid w:val="00BE37B6"/>
    <w:rsid w:val="00BE439B"/>
    <w:rsid w:val="00C27978"/>
    <w:rsid w:val="00C44535"/>
    <w:rsid w:val="00DF4548"/>
    <w:rsid w:val="00E04C12"/>
    <w:rsid w:val="00E26922"/>
    <w:rsid w:val="00E34522"/>
    <w:rsid w:val="00E6718A"/>
    <w:rsid w:val="00EF0B2B"/>
    <w:rsid w:val="00F039AB"/>
    <w:rsid w:val="00F11562"/>
    <w:rsid w:val="00F13EEC"/>
    <w:rsid w:val="00F46E42"/>
    <w:rsid w:val="00FB4904"/>
    <w:rsid w:val="00FB6604"/>
    <w:rsid w:val="01220146"/>
    <w:rsid w:val="01430231"/>
    <w:rsid w:val="01522153"/>
    <w:rsid w:val="015C7D9C"/>
    <w:rsid w:val="018803DA"/>
    <w:rsid w:val="01A766D6"/>
    <w:rsid w:val="024B7327"/>
    <w:rsid w:val="025438C5"/>
    <w:rsid w:val="02D70FC4"/>
    <w:rsid w:val="03013EA7"/>
    <w:rsid w:val="031B6944"/>
    <w:rsid w:val="037871AE"/>
    <w:rsid w:val="03A7640A"/>
    <w:rsid w:val="03A96B15"/>
    <w:rsid w:val="03E20ABB"/>
    <w:rsid w:val="04092DA5"/>
    <w:rsid w:val="04271B47"/>
    <w:rsid w:val="042F3AB3"/>
    <w:rsid w:val="0499025B"/>
    <w:rsid w:val="04A3584B"/>
    <w:rsid w:val="04B85B87"/>
    <w:rsid w:val="04F9090E"/>
    <w:rsid w:val="055776F0"/>
    <w:rsid w:val="05927FC5"/>
    <w:rsid w:val="05D61D24"/>
    <w:rsid w:val="060F64CE"/>
    <w:rsid w:val="065B0371"/>
    <w:rsid w:val="0693478A"/>
    <w:rsid w:val="06952F68"/>
    <w:rsid w:val="06FD76D5"/>
    <w:rsid w:val="076F638D"/>
    <w:rsid w:val="07A64A06"/>
    <w:rsid w:val="07D45B55"/>
    <w:rsid w:val="07E37020"/>
    <w:rsid w:val="080E24A1"/>
    <w:rsid w:val="081252C1"/>
    <w:rsid w:val="082B12C7"/>
    <w:rsid w:val="08481F63"/>
    <w:rsid w:val="084E7305"/>
    <w:rsid w:val="086951E0"/>
    <w:rsid w:val="087E0083"/>
    <w:rsid w:val="08B478C9"/>
    <w:rsid w:val="093074AE"/>
    <w:rsid w:val="093B5A44"/>
    <w:rsid w:val="0951043D"/>
    <w:rsid w:val="09891A21"/>
    <w:rsid w:val="09D00A16"/>
    <w:rsid w:val="09FE58F6"/>
    <w:rsid w:val="09FF38A0"/>
    <w:rsid w:val="0A0A56F3"/>
    <w:rsid w:val="0A0D341F"/>
    <w:rsid w:val="0A2C237B"/>
    <w:rsid w:val="0A6317B7"/>
    <w:rsid w:val="0A767792"/>
    <w:rsid w:val="0A846E08"/>
    <w:rsid w:val="0A946928"/>
    <w:rsid w:val="0AAF3CFC"/>
    <w:rsid w:val="0ABB54D5"/>
    <w:rsid w:val="0B212FB9"/>
    <w:rsid w:val="0B555055"/>
    <w:rsid w:val="0B820D47"/>
    <w:rsid w:val="0B974684"/>
    <w:rsid w:val="0BDD7B43"/>
    <w:rsid w:val="0C115EEB"/>
    <w:rsid w:val="0C4E0F60"/>
    <w:rsid w:val="0C613807"/>
    <w:rsid w:val="0C630C99"/>
    <w:rsid w:val="0C9262D6"/>
    <w:rsid w:val="0CBC5E90"/>
    <w:rsid w:val="0CF43E33"/>
    <w:rsid w:val="0D3B047F"/>
    <w:rsid w:val="0D3E66D4"/>
    <w:rsid w:val="0D54582F"/>
    <w:rsid w:val="0D5A5D22"/>
    <w:rsid w:val="0D855BC2"/>
    <w:rsid w:val="0D9F1BB8"/>
    <w:rsid w:val="0DF26713"/>
    <w:rsid w:val="0E036C43"/>
    <w:rsid w:val="0E2B3315"/>
    <w:rsid w:val="0E547FE2"/>
    <w:rsid w:val="0F114C8B"/>
    <w:rsid w:val="0F4B0E20"/>
    <w:rsid w:val="0F93353B"/>
    <w:rsid w:val="0FC35DAF"/>
    <w:rsid w:val="0FDD27AB"/>
    <w:rsid w:val="0FFA2080"/>
    <w:rsid w:val="10184F12"/>
    <w:rsid w:val="10893062"/>
    <w:rsid w:val="10DF4A43"/>
    <w:rsid w:val="11B24AF2"/>
    <w:rsid w:val="11CA42AC"/>
    <w:rsid w:val="11DA25C6"/>
    <w:rsid w:val="124A4C5F"/>
    <w:rsid w:val="124F0232"/>
    <w:rsid w:val="124F4523"/>
    <w:rsid w:val="12580F8B"/>
    <w:rsid w:val="12680705"/>
    <w:rsid w:val="12B759E3"/>
    <w:rsid w:val="12E128DB"/>
    <w:rsid w:val="12ED12F4"/>
    <w:rsid w:val="12EF67E7"/>
    <w:rsid w:val="1302735F"/>
    <w:rsid w:val="130F3BBD"/>
    <w:rsid w:val="131C7131"/>
    <w:rsid w:val="132C7DA1"/>
    <w:rsid w:val="136F21C3"/>
    <w:rsid w:val="138371F6"/>
    <w:rsid w:val="1393233C"/>
    <w:rsid w:val="13FF3AED"/>
    <w:rsid w:val="144E2C6F"/>
    <w:rsid w:val="14DE57A7"/>
    <w:rsid w:val="153B30DB"/>
    <w:rsid w:val="15576B90"/>
    <w:rsid w:val="157B470E"/>
    <w:rsid w:val="159A16E0"/>
    <w:rsid w:val="15FE2A06"/>
    <w:rsid w:val="16235DBB"/>
    <w:rsid w:val="16483112"/>
    <w:rsid w:val="16492A2D"/>
    <w:rsid w:val="168B446B"/>
    <w:rsid w:val="168F11FD"/>
    <w:rsid w:val="1782213E"/>
    <w:rsid w:val="17895FB1"/>
    <w:rsid w:val="18076880"/>
    <w:rsid w:val="18504103"/>
    <w:rsid w:val="18BF69FE"/>
    <w:rsid w:val="197769F0"/>
    <w:rsid w:val="1986618D"/>
    <w:rsid w:val="19994227"/>
    <w:rsid w:val="1A2E5A0A"/>
    <w:rsid w:val="1A7B5EB2"/>
    <w:rsid w:val="1A842B61"/>
    <w:rsid w:val="1A88126C"/>
    <w:rsid w:val="1AA96D5F"/>
    <w:rsid w:val="1AEB43F4"/>
    <w:rsid w:val="1AFB502F"/>
    <w:rsid w:val="1B1A6D08"/>
    <w:rsid w:val="1B352CFF"/>
    <w:rsid w:val="1B9075DA"/>
    <w:rsid w:val="1BD51442"/>
    <w:rsid w:val="1BEF2AE6"/>
    <w:rsid w:val="1D0748D5"/>
    <w:rsid w:val="1DA6632C"/>
    <w:rsid w:val="1DDA223C"/>
    <w:rsid w:val="1DDA5361"/>
    <w:rsid w:val="1E404354"/>
    <w:rsid w:val="1E53618E"/>
    <w:rsid w:val="1EAA5844"/>
    <w:rsid w:val="1F01271A"/>
    <w:rsid w:val="1F2F227C"/>
    <w:rsid w:val="1F676DB7"/>
    <w:rsid w:val="1F7B6145"/>
    <w:rsid w:val="208C5A94"/>
    <w:rsid w:val="20CB3793"/>
    <w:rsid w:val="20EE1731"/>
    <w:rsid w:val="20F358CF"/>
    <w:rsid w:val="21A70A71"/>
    <w:rsid w:val="21AA4B60"/>
    <w:rsid w:val="223C289C"/>
    <w:rsid w:val="224E703D"/>
    <w:rsid w:val="22775B19"/>
    <w:rsid w:val="229B1640"/>
    <w:rsid w:val="22A005F6"/>
    <w:rsid w:val="231D242F"/>
    <w:rsid w:val="231F2753"/>
    <w:rsid w:val="23E04871"/>
    <w:rsid w:val="23F92D29"/>
    <w:rsid w:val="243D66A6"/>
    <w:rsid w:val="2470386C"/>
    <w:rsid w:val="25634194"/>
    <w:rsid w:val="267718A1"/>
    <w:rsid w:val="267F6B41"/>
    <w:rsid w:val="269C5F45"/>
    <w:rsid w:val="26EC1F3F"/>
    <w:rsid w:val="270A4089"/>
    <w:rsid w:val="27D0002A"/>
    <w:rsid w:val="27D06320"/>
    <w:rsid w:val="27FD070A"/>
    <w:rsid w:val="285A560F"/>
    <w:rsid w:val="287A3517"/>
    <w:rsid w:val="289C1392"/>
    <w:rsid w:val="28A24326"/>
    <w:rsid w:val="28B23BE5"/>
    <w:rsid w:val="28E6368B"/>
    <w:rsid w:val="29030C85"/>
    <w:rsid w:val="293823D8"/>
    <w:rsid w:val="29431E53"/>
    <w:rsid w:val="29652372"/>
    <w:rsid w:val="29AC17D7"/>
    <w:rsid w:val="29CD1D99"/>
    <w:rsid w:val="29D13BF6"/>
    <w:rsid w:val="29DE2E2B"/>
    <w:rsid w:val="2A043B43"/>
    <w:rsid w:val="2A0B12F4"/>
    <w:rsid w:val="2A2177EB"/>
    <w:rsid w:val="2A8F2F1E"/>
    <w:rsid w:val="2A973FD6"/>
    <w:rsid w:val="2AA14AFE"/>
    <w:rsid w:val="2AAD5467"/>
    <w:rsid w:val="2AC735DC"/>
    <w:rsid w:val="2B2B4BD5"/>
    <w:rsid w:val="2B60149A"/>
    <w:rsid w:val="2B6E77C6"/>
    <w:rsid w:val="2BA671CC"/>
    <w:rsid w:val="2BCF25CD"/>
    <w:rsid w:val="2C0B4CDF"/>
    <w:rsid w:val="2C3A4188"/>
    <w:rsid w:val="2C6974DF"/>
    <w:rsid w:val="2C8A1221"/>
    <w:rsid w:val="2CA44417"/>
    <w:rsid w:val="2CD031C6"/>
    <w:rsid w:val="2D224F16"/>
    <w:rsid w:val="2D4201EB"/>
    <w:rsid w:val="2D4A5B11"/>
    <w:rsid w:val="2D4F5624"/>
    <w:rsid w:val="2D7A1BFE"/>
    <w:rsid w:val="2DAE6016"/>
    <w:rsid w:val="2E0934AB"/>
    <w:rsid w:val="2E2E6D92"/>
    <w:rsid w:val="2E2F1FB1"/>
    <w:rsid w:val="2E3A17E8"/>
    <w:rsid w:val="2E481240"/>
    <w:rsid w:val="2E4F0EDC"/>
    <w:rsid w:val="2EBC2323"/>
    <w:rsid w:val="2F44727D"/>
    <w:rsid w:val="30057CB1"/>
    <w:rsid w:val="307D1EBA"/>
    <w:rsid w:val="30993984"/>
    <w:rsid w:val="30A13CEF"/>
    <w:rsid w:val="30BB67E3"/>
    <w:rsid w:val="30D058F1"/>
    <w:rsid w:val="31144DF7"/>
    <w:rsid w:val="31AE6F20"/>
    <w:rsid w:val="31E31C99"/>
    <w:rsid w:val="31EE124F"/>
    <w:rsid w:val="324301B1"/>
    <w:rsid w:val="324C2CE7"/>
    <w:rsid w:val="326C27F0"/>
    <w:rsid w:val="326F4A28"/>
    <w:rsid w:val="32B73E74"/>
    <w:rsid w:val="32DB3AD9"/>
    <w:rsid w:val="32E32052"/>
    <w:rsid w:val="33537149"/>
    <w:rsid w:val="3368213B"/>
    <w:rsid w:val="336F30B5"/>
    <w:rsid w:val="33B44630"/>
    <w:rsid w:val="33F35D65"/>
    <w:rsid w:val="344015AC"/>
    <w:rsid w:val="34AC6541"/>
    <w:rsid w:val="34B02CA5"/>
    <w:rsid w:val="34BF088F"/>
    <w:rsid w:val="34CB4893"/>
    <w:rsid w:val="34E209D7"/>
    <w:rsid w:val="351D4F3E"/>
    <w:rsid w:val="35212ED5"/>
    <w:rsid w:val="35260703"/>
    <w:rsid w:val="35524A0B"/>
    <w:rsid w:val="35755DAF"/>
    <w:rsid w:val="359420CA"/>
    <w:rsid w:val="35A15263"/>
    <w:rsid w:val="35AD3EB8"/>
    <w:rsid w:val="35C34F8B"/>
    <w:rsid w:val="35FF714A"/>
    <w:rsid w:val="364D7A0B"/>
    <w:rsid w:val="36857C07"/>
    <w:rsid w:val="368F0AE5"/>
    <w:rsid w:val="36C232BF"/>
    <w:rsid w:val="36D9566A"/>
    <w:rsid w:val="37082301"/>
    <w:rsid w:val="37502A30"/>
    <w:rsid w:val="37584669"/>
    <w:rsid w:val="377700C9"/>
    <w:rsid w:val="377B7701"/>
    <w:rsid w:val="383D428B"/>
    <w:rsid w:val="385A3E09"/>
    <w:rsid w:val="389D065F"/>
    <w:rsid w:val="38F275AB"/>
    <w:rsid w:val="391F09CF"/>
    <w:rsid w:val="392D44B2"/>
    <w:rsid w:val="396B72F2"/>
    <w:rsid w:val="39A54AB3"/>
    <w:rsid w:val="39B40D04"/>
    <w:rsid w:val="39C27779"/>
    <w:rsid w:val="3A7C129D"/>
    <w:rsid w:val="3B37370E"/>
    <w:rsid w:val="3B540201"/>
    <w:rsid w:val="3B8E6F8F"/>
    <w:rsid w:val="3C652450"/>
    <w:rsid w:val="3CC95B6E"/>
    <w:rsid w:val="3CCE3917"/>
    <w:rsid w:val="3D3C72C8"/>
    <w:rsid w:val="3D5B3516"/>
    <w:rsid w:val="3D663D31"/>
    <w:rsid w:val="3E0D5A7C"/>
    <w:rsid w:val="3E700737"/>
    <w:rsid w:val="3E8B6339"/>
    <w:rsid w:val="3E954D5E"/>
    <w:rsid w:val="3ED75106"/>
    <w:rsid w:val="3EFC5B55"/>
    <w:rsid w:val="3F365818"/>
    <w:rsid w:val="3F4E7406"/>
    <w:rsid w:val="3F657A56"/>
    <w:rsid w:val="3F793ABB"/>
    <w:rsid w:val="3F9363E3"/>
    <w:rsid w:val="3FE30DD2"/>
    <w:rsid w:val="40471E4B"/>
    <w:rsid w:val="410B09F3"/>
    <w:rsid w:val="413B6AE9"/>
    <w:rsid w:val="413E52F1"/>
    <w:rsid w:val="41483744"/>
    <w:rsid w:val="41504E40"/>
    <w:rsid w:val="41691906"/>
    <w:rsid w:val="418931F4"/>
    <w:rsid w:val="420254A4"/>
    <w:rsid w:val="424E4A2D"/>
    <w:rsid w:val="42866783"/>
    <w:rsid w:val="429E7DF4"/>
    <w:rsid w:val="42E74D31"/>
    <w:rsid w:val="430B58D8"/>
    <w:rsid w:val="437657BA"/>
    <w:rsid w:val="439422AD"/>
    <w:rsid w:val="43AD744A"/>
    <w:rsid w:val="43FE15C3"/>
    <w:rsid w:val="44286F68"/>
    <w:rsid w:val="442A7456"/>
    <w:rsid w:val="447A4236"/>
    <w:rsid w:val="44A572DB"/>
    <w:rsid w:val="44D22601"/>
    <w:rsid w:val="45095FD8"/>
    <w:rsid w:val="455007F2"/>
    <w:rsid w:val="455B03C0"/>
    <w:rsid w:val="45FD3DD3"/>
    <w:rsid w:val="46635F28"/>
    <w:rsid w:val="466B6735"/>
    <w:rsid w:val="46C424BE"/>
    <w:rsid w:val="46C6045C"/>
    <w:rsid w:val="46C77150"/>
    <w:rsid w:val="46E94B7A"/>
    <w:rsid w:val="4716223D"/>
    <w:rsid w:val="474A2DF4"/>
    <w:rsid w:val="47AA23D8"/>
    <w:rsid w:val="48070C64"/>
    <w:rsid w:val="48232D12"/>
    <w:rsid w:val="482625FC"/>
    <w:rsid w:val="482B1CB9"/>
    <w:rsid w:val="48342615"/>
    <w:rsid w:val="485505BB"/>
    <w:rsid w:val="487A4A52"/>
    <w:rsid w:val="48AB5F76"/>
    <w:rsid w:val="48CC04E2"/>
    <w:rsid w:val="49732C1F"/>
    <w:rsid w:val="49B168E5"/>
    <w:rsid w:val="49DF3CA4"/>
    <w:rsid w:val="49E5067C"/>
    <w:rsid w:val="4A951DA3"/>
    <w:rsid w:val="4AE9208C"/>
    <w:rsid w:val="4B114AA7"/>
    <w:rsid w:val="4B532EA6"/>
    <w:rsid w:val="4B864DC6"/>
    <w:rsid w:val="4BAF0A95"/>
    <w:rsid w:val="4BDB4FFA"/>
    <w:rsid w:val="4BDE1BD7"/>
    <w:rsid w:val="4C1F4ACB"/>
    <w:rsid w:val="4C240BE9"/>
    <w:rsid w:val="4C4621B2"/>
    <w:rsid w:val="4C5C055A"/>
    <w:rsid w:val="4C6F5F4D"/>
    <w:rsid w:val="4C8562A4"/>
    <w:rsid w:val="4CC97F4A"/>
    <w:rsid w:val="4CE23A29"/>
    <w:rsid w:val="4D1600CF"/>
    <w:rsid w:val="4D1C28A1"/>
    <w:rsid w:val="4DB17DCA"/>
    <w:rsid w:val="4DEF57B0"/>
    <w:rsid w:val="4E0E1FA8"/>
    <w:rsid w:val="4E1700D2"/>
    <w:rsid w:val="4E203787"/>
    <w:rsid w:val="4E367596"/>
    <w:rsid w:val="4E6D4069"/>
    <w:rsid w:val="4E906B15"/>
    <w:rsid w:val="4EBE48DF"/>
    <w:rsid w:val="4EF03236"/>
    <w:rsid w:val="4EF46A7A"/>
    <w:rsid w:val="4F07551E"/>
    <w:rsid w:val="4F127218"/>
    <w:rsid w:val="4F6E3CB4"/>
    <w:rsid w:val="4F7E5D28"/>
    <w:rsid w:val="4F8B27F0"/>
    <w:rsid w:val="4FAA3C21"/>
    <w:rsid w:val="50BF4A77"/>
    <w:rsid w:val="5166753C"/>
    <w:rsid w:val="51804026"/>
    <w:rsid w:val="51A26FC5"/>
    <w:rsid w:val="51B562CD"/>
    <w:rsid w:val="51EC23D9"/>
    <w:rsid w:val="5213624E"/>
    <w:rsid w:val="527410ED"/>
    <w:rsid w:val="529C47F0"/>
    <w:rsid w:val="52CD34BA"/>
    <w:rsid w:val="53330AC1"/>
    <w:rsid w:val="534F0C2D"/>
    <w:rsid w:val="53747088"/>
    <w:rsid w:val="537B4D2E"/>
    <w:rsid w:val="5387056A"/>
    <w:rsid w:val="539A66F6"/>
    <w:rsid w:val="53F67375"/>
    <w:rsid w:val="54525E01"/>
    <w:rsid w:val="547315FD"/>
    <w:rsid w:val="547B4045"/>
    <w:rsid w:val="548765A2"/>
    <w:rsid w:val="54FE44EA"/>
    <w:rsid w:val="551B2DB3"/>
    <w:rsid w:val="55630D22"/>
    <w:rsid w:val="556E6CFC"/>
    <w:rsid w:val="56482ED9"/>
    <w:rsid w:val="56853280"/>
    <w:rsid w:val="56C03075"/>
    <w:rsid w:val="56E96880"/>
    <w:rsid w:val="56F54D0F"/>
    <w:rsid w:val="571A7BA9"/>
    <w:rsid w:val="5730232D"/>
    <w:rsid w:val="575939A3"/>
    <w:rsid w:val="577901B4"/>
    <w:rsid w:val="578F5C87"/>
    <w:rsid w:val="57AE3337"/>
    <w:rsid w:val="57CC007D"/>
    <w:rsid w:val="57E3025D"/>
    <w:rsid w:val="58181F84"/>
    <w:rsid w:val="582D4BB9"/>
    <w:rsid w:val="586E43D2"/>
    <w:rsid w:val="58750453"/>
    <w:rsid w:val="589C6C6E"/>
    <w:rsid w:val="58AC3FCD"/>
    <w:rsid w:val="58D24A18"/>
    <w:rsid w:val="58FE4042"/>
    <w:rsid w:val="59F23B46"/>
    <w:rsid w:val="5A080DA5"/>
    <w:rsid w:val="5A197561"/>
    <w:rsid w:val="5A223FC6"/>
    <w:rsid w:val="5A4654C9"/>
    <w:rsid w:val="5AFF36A0"/>
    <w:rsid w:val="5B0E2F85"/>
    <w:rsid w:val="5B153DA9"/>
    <w:rsid w:val="5B4A425D"/>
    <w:rsid w:val="5B761135"/>
    <w:rsid w:val="5B8C64CE"/>
    <w:rsid w:val="5B9761EC"/>
    <w:rsid w:val="5BB426F8"/>
    <w:rsid w:val="5C2F2C8A"/>
    <w:rsid w:val="5CA92A3A"/>
    <w:rsid w:val="5CAD5579"/>
    <w:rsid w:val="5CBE6471"/>
    <w:rsid w:val="5CD36706"/>
    <w:rsid w:val="5D0569CB"/>
    <w:rsid w:val="5D217A35"/>
    <w:rsid w:val="5D44503B"/>
    <w:rsid w:val="5DB52C8C"/>
    <w:rsid w:val="5DBD3689"/>
    <w:rsid w:val="5DCC5E16"/>
    <w:rsid w:val="5DFA3C7A"/>
    <w:rsid w:val="5E1A71A4"/>
    <w:rsid w:val="5E244618"/>
    <w:rsid w:val="5E3362A0"/>
    <w:rsid w:val="5E41458E"/>
    <w:rsid w:val="5E6860B2"/>
    <w:rsid w:val="5E8F606F"/>
    <w:rsid w:val="5EB04B98"/>
    <w:rsid w:val="5ECC013A"/>
    <w:rsid w:val="5F1232E5"/>
    <w:rsid w:val="5F1A2B0C"/>
    <w:rsid w:val="5F1E0F78"/>
    <w:rsid w:val="5F3E4EFA"/>
    <w:rsid w:val="5FA270EA"/>
    <w:rsid w:val="607543A6"/>
    <w:rsid w:val="608A45F9"/>
    <w:rsid w:val="60926A3B"/>
    <w:rsid w:val="60AD4207"/>
    <w:rsid w:val="60B532EB"/>
    <w:rsid w:val="60BF45BE"/>
    <w:rsid w:val="613D6634"/>
    <w:rsid w:val="61486333"/>
    <w:rsid w:val="616A1642"/>
    <w:rsid w:val="616D1B1D"/>
    <w:rsid w:val="616D5E8F"/>
    <w:rsid w:val="61AD2FA1"/>
    <w:rsid w:val="61B929C7"/>
    <w:rsid w:val="62016E16"/>
    <w:rsid w:val="628539BE"/>
    <w:rsid w:val="62CE121E"/>
    <w:rsid w:val="62F73436"/>
    <w:rsid w:val="638A5219"/>
    <w:rsid w:val="63FD2EE2"/>
    <w:rsid w:val="648E51A0"/>
    <w:rsid w:val="64DF1D9F"/>
    <w:rsid w:val="650760A9"/>
    <w:rsid w:val="65084095"/>
    <w:rsid w:val="654D6822"/>
    <w:rsid w:val="654E2123"/>
    <w:rsid w:val="657F5CC5"/>
    <w:rsid w:val="65A62D55"/>
    <w:rsid w:val="65DC6F44"/>
    <w:rsid w:val="65E674E8"/>
    <w:rsid w:val="660F03FC"/>
    <w:rsid w:val="663C324F"/>
    <w:rsid w:val="6653389A"/>
    <w:rsid w:val="669E34F6"/>
    <w:rsid w:val="66C8570A"/>
    <w:rsid w:val="66DC2BA0"/>
    <w:rsid w:val="66DF6530"/>
    <w:rsid w:val="66EC0607"/>
    <w:rsid w:val="67104BDB"/>
    <w:rsid w:val="67B60852"/>
    <w:rsid w:val="67E46280"/>
    <w:rsid w:val="683F0169"/>
    <w:rsid w:val="68A26E7C"/>
    <w:rsid w:val="68AB7A64"/>
    <w:rsid w:val="68B4621B"/>
    <w:rsid w:val="68CD6C9E"/>
    <w:rsid w:val="69383D7C"/>
    <w:rsid w:val="698B396D"/>
    <w:rsid w:val="69BE1232"/>
    <w:rsid w:val="69CF3691"/>
    <w:rsid w:val="69E95D4E"/>
    <w:rsid w:val="6A262291"/>
    <w:rsid w:val="6A696998"/>
    <w:rsid w:val="6A6C65E5"/>
    <w:rsid w:val="6AA06519"/>
    <w:rsid w:val="6ACE4BFE"/>
    <w:rsid w:val="6B1461FA"/>
    <w:rsid w:val="6B4D2214"/>
    <w:rsid w:val="6B96792C"/>
    <w:rsid w:val="6C050844"/>
    <w:rsid w:val="6C1C2101"/>
    <w:rsid w:val="6C5D05EF"/>
    <w:rsid w:val="6C716D5A"/>
    <w:rsid w:val="6C922EEF"/>
    <w:rsid w:val="6CD30C20"/>
    <w:rsid w:val="6D217D18"/>
    <w:rsid w:val="6D2B3906"/>
    <w:rsid w:val="6D354357"/>
    <w:rsid w:val="6D3812CC"/>
    <w:rsid w:val="6D7F0E52"/>
    <w:rsid w:val="6DEC3261"/>
    <w:rsid w:val="6E24478B"/>
    <w:rsid w:val="6E325A39"/>
    <w:rsid w:val="6E576EE6"/>
    <w:rsid w:val="6E6C175B"/>
    <w:rsid w:val="6E775326"/>
    <w:rsid w:val="6F387949"/>
    <w:rsid w:val="6F5652A3"/>
    <w:rsid w:val="6FE22CE3"/>
    <w:rsid w:val="70114778"/>
    <w:rsid w:val="7023259A"/>
    <w:rsid w:val="703C7A3D"/>
    <w:rsid w:val="704145B2"/>
    <w:rsid w:val="70A17423"/>
    <w:rsid w:val="70A342BD"/>
    <w:rsid w:val="710F1CF3"/>
    <w:rsid w:val="7145465B"/>
    <w:rsid w:val="71632BAA"/>
    <w:rsid w:val="71A70F34"/>
    <w:rsid w:val="71B12085"/>
    <w:rsid w:val="7290365C"/>
    <w:rsid w:val="72993842"/>
    <w:rsid w:val="72A63645"/>
    <w:rsid w:val="73234356"/>
    <w:rsid w:val="733802DD"/>
    <w:rsid w:val="733C1C97"/>
    <w:rsid w:val="735B27DB"/>
    <w:rsid w:val="737062F4"/>
    <w:rsid w:val="737D4BF4"/>
    <w:rsid w:val="73D139FA"/>
    <w:rsid w:val="73F47C4A"/>
    <w:rsid w:val="74224085"/>
    <w:rsid w:val="74473555"/>
    <w:rsid w:val="74AC2458"/>
    <w:rsid w:val="75125260"/>
    <w:rsid w:val="75414F0F"/>
    <w:rsid w:val="75694719"/>
    <w:rsid w:val="75816D7E"/>
    <w:rsid w:val="759262FD"/>
    <w:rsid w:val="75A66113"/>
    <w:rsid w:val="75BF60BE"/>
    <w:rsid w:val="75C76B85"/>
    <w:rsid w:val="75D048AD"/>
    <w:rsid w:val="76103986"/>
    <w:rsid w:val="767E6EDA"/>
    <w:rsid w:val="768C3B0D"/>
    <w:rsid w:val="769D1A84"/>
    <w:rsid w:val="76E43238"/>
    <w:rsid w:val="76FD351C"/>
    <w:rsid w:val="77144B28"/>
    <w:rsid w:val="771A246A"/>
    <w:rsid w:val="77283DDE"/>
    <w:rsid w:val="77CA249A"/>
    <w:rsid w:val="7819162E"/>
    <w:rsid w:val="781B3F20"/>
    <w:rsid w:val="78274752"/>
    <w:rsid w:val="78A70F68"/>
    <w:rsid w:val="78A866A2"/>
    <w:rsid w:val="78BA38E5"/>
    <w:rsid w:val="79081B67"/>
    <w:rsid w:val="794F70CC"/>
    <w:rsid w:val="7991235B"/>
    <w:rsid w:val="79B31019"/>
    <w:rsid w:val="79BC6BA3"/>
    <w:rsid w:val="79C447DC"/>
    <w:rsid w:val="79F737F9"/>
    <w:rsid w:val="7A63514E"/>
    <w:rsid w:val="7A8B1D47"/>
    <w:rsid w:val="7AB01A11"/>
    <w:rsid w:val="7AB57954"/>
    <w:rsid w:val="7AC765D5"/>
    <w:rsid w:val="7AD82A4A"/>
    <w:rsid w:val="7B113A7D"/>
    <w:rsid w:val="7B812A3F"/>
    <w:rsid w:val="7B8D6D4F"/>
    <w:rsid w:val="7C084414"/>
    <w:rsid w:val="7C356284"/>
    <w:rsid w:val="7C4018B1"/>
    <w:rsid w:val="7C425158"/>
    <w:rsid w:val="7C6E4671"/>
    <w:rsid w:val="7C7A22C5"/>
    <w:rsid w:val="7CA45DB9"/>
    <w:rsid w:val="7CF46F05"/>
    <w:rsid w:val="7D4E37E9"/>
    <w:rsid w:val="7D704B41"/>
    <w:rsid w:val="7D7143FF"/>
    <w:rsid w:val="7D7F4A3D"/>
    <w:rsid w:val="7D9A7F60"/>
    <w:rsid w:val="7DA61FF4"/>
    <w:rsid w:val="7DAC558B"/>
    <w:rsid w:val="7DB6204B"/>
    <w:rsid w:val="7E620A42"/>
    <w:rsid w:val="7E663D37"/>
    <w:rsid w:val="7E84486B"/>
    <w:rsid w:val="7EC0283D"/>
    <w:rsid w:val="7EDF4B54"/>
    <w:rsid w:val="7EFF3FF1"/>
    <w:rsid w:val="7F803D43"/>
    <w:rsid w:val="7F9B24E3"/>
    <w:rsid w:val="7FF16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keepLines/>
      <w:spacing w:before="260" w:after="260" w:line="413"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Salutation"/>
    <w:basedOn w:val="1"/>
    <w:next w:val="1"/>
    <w:link w:val="11"/>
    <w:qFormat/>
    <w:uiPriority w:val="0"/>
    <w:rPr>
      <w:rFonts w:ascii="Calibri" w:hAnsi="Calibri"/>
      <w:szCs w:val="2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widowControl/>
      <w:spacing w:beforeAutospacing="1" w:afterAutospacing="1"/>
      <w:jc w:val="left"/>
    </w:pPr>
    <w:rPr>
      <w:rFonts w:ascii="宋体" w:hAnsi="宋体"/>
      <w:sz w:val="24"/>
    </w:rPr>
  </w:style>
  <w:style w:type="paragraph" w:styleId="9">
    <w:name w:val="List Paragraph"/>
    <w:basedOn w:val="1"/>
    <w:unhideWhenUsed/>
    <w:qFormat/>
    <w:uiPriority w:val="99"/>
    <w:pPr>
      <w:ind w:firstLine="420" w:firstLineChars="200"/>
    </w:pPr>
  </w:style>
  <w:style w:type="paragraph" w:customStyle="1" w:styleId="10">
    <w:name w:val="Char1 Char Char Char"/>
    <w:basedOn w:val="1"/>
    <w:qFormat/>
    <w:uiPriority w:val="0"/>
    <w:rPr>
      <w:rFonts w:ascii="Tahoma" w:hAnsi="Tahoma" w:eastAsia="宋体" w:cs="Times New Roman"/>
      <w:sz w:val="24"/>
      <w:szCs w:val="20"/>
    </w:rPr>
  </w:style>
  <w:style w:type="character" w:customStyle="1" w:styleId="11">
    <w:name w:val="称呼 Char"/>
    <w:basedOn w:val="8"/>
    <w:link w:val="4"/>
    <w:qFormat/>
    <w:locked/>
    <w:uiPriority w:val="0"/>
    <w:rPr>
      <w:rFonts w:ascii="Calibri" w:hAnsi="Calibr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B7C7D9-0EED-467F-8862-8AEC715FF42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17297</Words>
  <Characters>17901</Characters>
  <Lines>108</Lines>
  <Paragraphs>30</Paragraphs>
  <TotalTime>14</TotalTime>
  <ScaleCrop>false</ScaleCrop>
  <LinksUpToDate>false</LinksUpToDate>
  <CharactersWithSpaces>17914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2020-12-29T07:07:00Z</dcterms:created>
  <dc:creator>Administrator</dc:creator>
  <cp:lastModifiedBy>Administrator</cp:lastModifiedBy>
  <cp:lastPrinted>2021-06-02T10:02:00Z</cp:lastPrinted>
  <dcterms:modified xsi:type="dcterms:W3CDTF">2023-01-10T00:30:20Z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0_embed</vt:lpwstr>
  </property>
  <property fmtid="{D5CDD505-2E9C-101B-9397-08002B2CF9AE}" pid="4" name="ICV">
    <vt:lpwstr>6671A9FE62B94FC986C81A9DD2D47D32</vt:lpwstr>
  </property>
</Properties>
</file>